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黑体"/>
          <w:color w:val="auto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</w:rPr>
        <w:t>附件1</w:t>
      </w:r>
    </w:p>
    <w:p>
      <w:pPr>
        <w:spacing w:line="520" w:lineRule="exact"/>
        <w:jc w:val="center"/>
        <w:rPr>
          <w:rFonts w:ascii="方正小标宋_GBK" w:hAnsi="黑体" w:eastAsia="方正小标宋_GBK"/>
          <w:color w:val="auto"/>
          <w:sz w:val="28"/>
          <w:szCs w:val="28"/>
        </w:rPr>
      </w:pPr>
      <w:r>
        <w:rPr>
          <w:rFonts w:hint="eastAsia" w:ascii="方正小标宋_GBK" w:hAnsi="黑体" w:eastAsia="方正小标宋_GBK"/>
          <w:color w:val="auto"/>
          <w:sz w:val="28"/>
          <w:szCs w:val="28"/>
        </w:rPr>
        <w:t>生活垃圾分类绿色小区标准</w:t>
      </w:r>
    </w:p>
    <w:tbl>
      <w:tblPr>
        <w:tblStyle w:val="6"/>
        <w:tblW w:w="1399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142"/>
        <w:gridCol w:w="1392"/>
        <w:gridCol w:w="643"/>
        <w:gridCol w:w="5738"/>
        <w:gridCol w:w="43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tblHeader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仿宋_GB2312" w:cs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b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仿宋_GB2312" w:cs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b/>
                <w:color w:val="auto"/>
                <w:sz w:val="21"/>
                <w:szCs w:val="21"/>
              </w:rPr>
              <w:t>一级指标</w:t>
            </w: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仿宋_GB2312" w:cs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b/>
                <w:color w:val="auto"/>
                <w:sz w:val="21"/>
                <w:szCs w:val="21"/>
              </w:rPr>
              <w:t>二级指标</w:t>
            </w: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仿宋_GB2312" w:cs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b/>
                <w:color w:val="auto"/>
                <w:sz w:val="21"/>
                <w:szCs w:val="21"/>
              </w:rPr>
              <w:t>分值</w:t>
            </w:r>
          </w:p>
        </w:tc>
        <w:tc>
          <w:tcPr>
            <w:tcW w:w="5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仿宋_GB2312" w:cs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b/>
                <w:color w:val="auto"/>
                <w:sz w:val="21"/>
                <w:szCs w:val="21"/>
              </w:rPr>
              <w:t>工作内容</w:t>
            </w:r>
          </w:p>
        </w:tc>
        <w:tc>
          <w:tcPr>
            <w:tcW w:w="4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仿宋_GB2312" w:cs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b/>
                <w:color w:val="auto"/>
                <w:sz w:val="21"/>
                <w:szCs w:val="21"/>
              </w:rPr>
              <w:t>评分细则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1</w:t>
            </w:r>
          </w:p>
        </w:tc>
        <w:tc>
          <w:tcPr>
            <w:tcW w:w="1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管理台账(5分)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管理台账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5</w:t>
            </w:r>
          </w:p>
        </w:tc>
        <w:tc>
          <w:tcPr>
            <w:tcW w:w="5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建立生活垃圾分类管理台账，详细记录垃圾类别、数量、分类收运以及宣传培训等情况，定期向街道办报送数据。</w:t>
            </w:r>
          </w:p>
        </w:tc>
        <w:tc>
          <w:tcPr>
            <w:tcW w:w="4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无台账记录扣5分，台账记录不完善酌情扣1～4分，没有定期向街道办报送数据扣1分。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7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2</w:t>
            </w:r>
          </w:p>
        </w:tc>
        <w:tc>
          <w:tcPr>
            <w:tcW w:w="114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宣传引导</w:t>
            </w: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（15分）</w:t>
            </w:r>
          </w:p>
        </w:tc>
        <w:tc>
          <w:tcPr>
            <w:tcW w:w="1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人员培训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5</w:t>
            </w:r>
          </w:p>
        </w:tc>
        <w:tc>
          <w:tcPr>
            <w:tcW w:w="5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每年对物业管理人员、清洁员、督导员进行培训不少于2次，培训记录应包括现场照片、签到表、培训材料等。</w:t>
            </w:r>
          </w:p>
        </w:tc>
        <w:tc>
          <w:tcPr>
            <w:tcW w:w="4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每少一次培训扣2分，培训记录不完善扣1分。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6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1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静态宣传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5</w:t>
            </w:r>
          </w:p>
        </w:tc>
        <w:tc>
          <w:tcPr>
            <w:tcW w:w="5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主要出入口、宣传栏、楼栋大堂或电梯间等显著位置张贴垃圾分类投放指引或宣传海报。</w:t>
            </w:r>
          </w:p>
        </w:tc>
        <w:tc>
          <w:tcPr>
            <w:tcW w:w="4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根据宣传氛围酌情打分。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1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入户宣传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5</w:t>
            </w:r>
          </w:p>
        </w:tc>
        <w:tc>
          <w:tcPr>
            <w:tcW w:w="5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入户宣传覆盖率达到小区实际入住户数的80%。</w:t>
            </w:r>
          </w:p>
        </w:tc>
        <w:tc>
          <w:tcPr>
            <w:tcW w:w="4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入户覆盖率达到小区实际入住户数80%及以上不扣分，达到70%</w:t>
            </w:r>
            <w:r>
              <w:rPr>
                <w:rFonts w:hint="eastAsia" w:hAnsi="仿宋_GB2312" w:cs="仿宋_GB2312"/>
                <w:color w:val="auto"/>
                <w:sz w:val="21"/>
                <w:szCs w:val="21"/>
                <w:lang w:eastAsia="zh-CN"/>
              </w:rPr>
              <w:t>但</w:t>
            </w: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不足80%扣1分，达到60%</w:t>
            </w:r>
            <w:r>
              <w:rPr>
                <w:rFonts w:hint="eastAsia" w:hAnsi="仿宋_GB2312" w:cs="仿宋_GB2312"/>
                <w:color w:val="auto"/>
                <w:sz w:val="21"/>
                <w:szCs w:val="21"/>
                <w:lang w:eastAsia="zh-CN"/>
              </w:rPr>
              <w:t>但</w:t>
            </w: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不足70%扣3分，不足60%不得分。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3</w:t>
            </w:r>
          </w:p>
        </w:tc>
        <w:tc>
          <w:tcPr>
            <w:tcW w:w="1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定时定点督导</w:t>
            </w:r>
          </w:p>
          <w:p>
            <w:pPr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（15分）</w:t>
            </w:r>
          </w:p>
        </w:tc>
        <w:tc>
          <w:tcPr>
            <w:tcW w:w="1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定时定点督导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15</w:t>
            </w:r>
          </w:p>
        </w:tc>
        <w:tc>
          <w:tcPr>
            <w:tcW w:w="5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晚上7-9点，组织党员、志愿者、热心居民、物业管理等人员在垃圾分类集中投放点开展宣传督导，全年督导天数不少于270天。</w:t>
            </w:r>
          </w:p>
        </w:tc>
        <w:tc>
          <w:tcPr>
            <w:tcW w:w="4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督导天数达到270天不扣分，达到240天</w:t>
            </w:r>
            <w:r>
              <w:rPr>
                <w:rFonts w:hint="eastAsia" w:hAnsi="仿宋_GB2312" w:cs="仿宋_GB2312"/>
                <w:color w:val="auto"/>
                <w:sz w:val="21"/>
                <w:szCs w:val="21"/>
                <w:lang w:eastAsia="zh-CN"/>
              </w:rPr>
              <w:t>但</w:t>
            </w: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不足270天扣2分，达到210天</w:t>
            </w:r>
            <w:r>
              <w:rPr>
                <w:rFonts w:hint="eastAsia" w:hAnsi="仿宋_GB2312" w:cs="仿宋_GB2312"/>
                <w:color w:val="auto"/>
                <w:sz w:val="21"/>
                <w:szCs w:val="21"/>
                <w:lang w:eastAsia="zh-CN"/>
              </w:rPr>
              <w:t>但</w:t>
            </w: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不足240天扣4分，达到180天</w:t>
            </w:r>
            <w:r>
              <w:rPr>
                <w:rFonts w:hint="eastAsia" w:hAnsi="仿宋_GB2312" w:cs="仿宋_GB2312"/>
                <w:color w:val="auto"/>
                <w:sz w:val="21"/>
                <w:szCs w:val="21"/>
                <w:lang w:eastAsia="zh-CN"/>
              </w:rPr>
              <w:t>但</w:t>
            </w: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不足210天扣6分，达到150天</w:t>
            </w:r>
            <w:r>
              <w:rPr>
                <w:rFonts w:hint="eastAsia" w:hAnsi="仿宋_GB2312" w:cs="仿宋_GB2312"/>
                <w:color w:val="auto"/>
                <w:sz w:val="21"/>
                <w:szCs w:val="21"/>
                <w:lang w:eastAsia="zh-CN"/>
              </w:rPr>
              <w:t>但</w:t>
            </w: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不足180天扣8分，达到120天</w:t>
            </w:r>
            <w:r>
              <w:rPr>
                <w:rFonts w:hint="eastAsia" w:hAnsi="仿宋_GB2312" w:cs="仿宋_GB2312"/>
                <w:color w:val="auto"/>
                <w:sz w:val="21"/>
                <w:szCs w:val="21"/>
                <w:lang w:eastAsia="zh-CN"/>
              </w:rPr>
              <w:t>但</w:t>
            </w: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不足150天扣10分，少于120天不得分。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6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4</w:t>
            </w:r>
          </w:p>
        </w:tc>
        <w:tc>
          <w:tcPr>
            <w:tcW w:w="11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设施建设（40分）</w:t>
            </w:r>
          </w:p>
        </w:tc>
        <w:tc>
          <w:tcPr>
            <w:tcW w:w="1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集中投放点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18</w:t>
            </w:r>
          </w:p>
        </w:tc>
        <w:tc>
          <w:tcPr>
            <w:tcW w:w="5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每个垃圾投放点改造为集中投放点，统一设置有害垃圾、废弃玻璃、废弃金属、废弃塑料、废弃纸类、厨余垃圾、其他垃圾等收集容器,并设置投放指引牌、洗手池、照明和语音提示设施。</w:t>
            </w:r>
          </w:p>
        </w:tc>
        <w:tc>
          <w:tcPr>
            <w:tcW w:w="4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每缺少一类分类容器或设施扣2分。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1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楼层撤桶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5</w:t>
            </w:r>
          </w:p>
        </w:tc>
        <w:tc>
          <w:tcPr>
            <w:tcW w:w="5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禁止在楼层设置垃圾桶，原有楼层垃圾桶应撤除。</w:t>
            </w:r>
          </w:p>
        </w:tc>
        <w:tc>
          <w:tcPr>
            <w:tcW w:w="4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楼层设置垃圾桶不得分。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1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废旧家具</w:t>
            </w:r>
          </w:p>
          <w:p>
            <w:pPr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投放点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5</w:t>
            </w:r>
          </w:p>
        </w:tc>
        <w:tc>
          <w:tcPr>
            <w:tcW w:w="5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至少设置1个废旧家具投放点,投放点应设置围挡、指引牌、消防设施。</w:t>
            </w:r>
          </w:p>
        </w:tc>
        <w:tc>
          <w:tcPr>
            <w:tcW w:w="4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未设置投放点扣5分，每缺少一类设施扣1分。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1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废旧织物</w:t>
            </w:r>
          </w:p>
          <w:p>
            <w:pPr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回收箱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2</w:t>
            </w:r>
          </w:p>
        </w:tc>
        <w:tc>
          <w:tcPr>
            <w:tcW w:w="5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小区至少设置1个废旧织物回收箱，箱体应标示备案编号、回收及监管电话、投放指引及回收处理流程。</w:t>
            </w:r>
          </w:p>
        </w:tc>
        <w:tc>
          <w:tcPr>
            <w:tcW w:w="4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未设置回收箱扣2分，箱体标示不规范扣1分。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1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分类标志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5</w:t>
            </w:r>
          </w:p>
        </w:tc>
        <w:tc>
          <w:tcPr>
            <w:tcW w:w="5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分类收集容器、指引牌及投放点分类标志正确、清晰。</w:t>
            </w:r>
          </w:p>
        </w:tc>
        <w:tc>
          <w:tcPr>
            <w:tcW w:w="4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每发现一处分类标志错误或污损严重扣1分。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1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日常管理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5</w:t>
            </w:r>
          </w:p>
        </w:tc>
        <w:tc>
          <w:tcPr>
            <w:tcW w:w="5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分类收集容器和设施干净整洁、功能完好。</w:t>
            </w:r>
          </w:p>
        </w:tc>
        <w:tc>
          <w:tcPr>
            <w:tcW w:w="4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每发现一处不符合要求扣1分。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6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5</w:t>
            </w:r>
          </w:p>
        </w:tc>
        <w:tc>
          <w:tcPr>
            <w:tcW w:w="11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分类成效（15分）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知晓率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8</w:t>
            </w:r>
          </w:p>
        </w:tc>
        <w:tc>
          <w:tcPr>
            <w:tcW w:w="5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居民熟悉垃圾分类知识，了解小区开展垃圾分类工作情况，知晓率达90%以上。</w:t>
            </w:r>
          </w:p>
        </w:tc>
        <w:tc>
          <w:tcPr>
            <w:tcW w:w="4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发放调查问卷，问卷平均分在90分及以上不扣分，达到80分</w:t>
            </w:r>
            <w:r>
              <w:rPr>
                <w:rFonts w:hint="eastAsia" w:hAnsi="仿宋_GB2312" w:cs="仿宋_GB2312"/>
                <w:color w:val="auto"/>
                <w:sz w:val="21"/>
                <w:szCs w:val="21"/>
                <w:lang w:eastAsia="zh-CN"/>
              </w:rPr>
              <w:t>但</w:t>
            </w: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不足90分扣2分，达到70分</w:t>
            </w:r>
            <w:r>
              <w:rPr>
                <w:rFonts w:hint="eastAsia" w:hAnsi="仿宋_GB2312" w:cs="仿宋_GB2312"/>
                <w:color w:val="auto"/>
                <w:sz w:val="21"/>
                <w:szCs w:val="21"/>
                <w:lang w:eastAsia="zh-CN"/>
              </w:rPr>
              <w:t>但</w:t>
            </w: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不足80分扣4分，70分以下不得分。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1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参与率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7</w:t>
            </w:r>
          </w:p>
        </w:tc>
        <w:tc>
          <w:tcPr>
            <w:tcW w:w="5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居民积极参与垃圾分类，参与率达50%以上。</w:t>
            </w:r>
          </w:p>
        </w:tc>
        <w:tc>
          <w:tcPr>
            <w:tcW w:w="4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居民参与率达到50%及以上不扣分，达到40%</w:t>
            </w:r>
            <w:r>
              <w:rPr>
                <w:rFonts w:hint="eastAsia" w:hAnsi="仿宋_GB2312" w:cs="仿宋_GB2312"/>
                <w:color w:val="auto"/>
                <w:sz w:val="21"/>
                <w:szCs w:val="21"/>
                <w:lang w:eastAsia="zh-CN"/>
              </w:rPr>
              <w:t>但</w:t>
            </w: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不足50%扣1分，达到30%</w:t>
            </w:r>
            <w:r>
              <w:rPr>
                <w:rFonts w:hint="eastAsia" w:hAnsi="仿宋_GB2312" w:cs="仿宋_GB2312"/>
                <w:color w:val="auto"/>
                <w:sz w:val="21"/>
                <w:szCs w:val="21"/>
                <w:lang w:eastAsia="zh-CN"/>
              </w:rPr>
              <w:t>但</w:t>
            </w: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不足40%扣3分，达到20%</w:t>
            </w:r>
            <w:r>
              <w:rPr>
                <w:rFonts w:hint="eastAsia" w:hAnsi="仿宋_GB2312" w:cs="仿宋_GB2312"/>
                <w:color w:val="auto"/>
                <w:sz w:val="21"/>
                <w:szCs w:val="21"/>
                <w:lang w:eastAsia="zh-CN"/>
              </w:rPr>
              <w:t>但</w:t>
            </w: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不足30%扣5分，20%以下不得分。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6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回收利用率（10分）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回收利用率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10</w:t>
            </w:r>
          </w:p>
        </w:tc>
        <w:tc>
          <w:tcPr>
            <w:tcW w:w="5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生活垃圾回收利用率达到30%以上。根据小区每月产生的玻金塑纸、有害垃圾、废旧织物、废旧家具、厨余垃圾等分流分类回收量与其他垃圾量，计算回收利用率。</w:t>
            </w:r>
          </w:p>
        </w:tc>
        <w:tc>
          <w:tcPr>
            <w:tcW w:w="4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lef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回收利用率达30%及以上不扣分，达到28%</w:t>
            </w:r>
            <w:r>
              <w:rPr>
                <w:rFonts w:hint="eastAsia" w:hAnsi="仿宋_GB2312" w:cs="仿宋_GB2312"/>
                <w:color w:val="auto"/>
                <w:sz w:val="21"/>
                <w:szCs w:val="21"/>
                <w:lang w:eastAsia="zh-CN"/>
              </w:rPr>
              <w:t>但</w:t>
            </w: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不足30%扣2分，达到25%</w:t>
            </w:r>
            <w:r>
              <w:rPr>
                <w:rFonts w:hint="eastAsia" w:hAnsi="仿宋_GB2312" w:cs="仿宋_GB2312"/>
                <w:color w:val="auto"/>
                <w:sz w:val="21"/>
                <w:szCs w:val="21"/>
                <w:lang w:eastAsia="zh-CN"/>
              </w:rPr>
              <w:t>但</w:t>
            </w: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不足28%扣4分，达到22%</w:t>
            </w:r>
            <w:r>
              <w:rPr>
                <w:rFonts w:hint="eastAsia" w:hAnsi="仿宋_GB2312" w:cs="仿宋_GB2312"/>
                <w:color w:val="auto"/>
                <w:sz w:val="21"/>
                <w:szCs w:val="21"/>
                <w:lang w:eastAsia="zh-CN"/>
              </w:rPr>
              <w:t>但</w:t>
            </w: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不足25%扣6分，达到20%</w:t>
            </w:r>
            <w:r>
              <w:rPr>
                <w:rFonts w:hint="eastAsia" w:hAnsi="仿宋_GB2312" w:cs="仿宋_GB2312"/>
                <w:color w:val="auto"/>
                <w:sz w:val="21"/>
                <w:szCs w:val="21"/>
                <w:lang w:eastAsia="zh-CN"/>
              </w:rPr>
              <w:t>但</w:t>
            </w: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不足22%扣8分，20%以下不得分。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Ansi="仿宋_GB2312" w:cs="仿宋_GB2312"/>
                <w:bCs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bCs/>
                <w:color w:val="auto"/>
                <w:sz w:val="21"/>
                <w:szCs w:val="21"/>
              </w:rPr>
              <w:t>合计</w:t>
            </w:r>
          </w:p>
        </w:tc>
        <w:tc>
          <w:tcPr>
            <w:tcW w:w="107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Ansi="仿宋_GB2312" w:cs="仿宋_GB2312"/>
                <w:bCs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bCs/>
                <w:color w:val="auto"/>
                <w:sz w:val="21"/>
                <w:szCs w:val="21"/>
              </w:rPr>
              <w:t>100分（85分以上为成效显著）</w:t>
            </w:r>
          </w:p>
        </w:tc>
      </w:tr>
    </w:tbl>
    <w:p>
      <w:pPr>
        <w:widowControl/>
        <w:spacing w:line="400" w:lineRule="exact"/>
        <w:rPr>
          <w:rFonts w:hAnsi="黑体"/>
          <w:color w:val="auto"/>
        </w:rPr>
      </w:pPr>
      <w:r>
        <w:rPr>
          <w:rFonts w:hAnsi="仿宋_GB2312" w:cs="仿宋_GB2312"/>
          <w:b/>
          <w:bCs/>
          <w:color w:val="auto"/>
          <w:sz w:val="28"/>
          <w:szCs w:val="28"/>
        </w:rPr>
        <w:br w:type="page"/>
      </w:r>
      <w:r>
        <w:rPr>
          <w:rFonts w:hint="eastAsia" w:hAnsi="黑体"/>
          <w:color w:val="auto"/>
        </w:rPr>
        <w:t>附件</w:t>
      </w:r>
      <w:r>
        <w:rPr>
          <w:rFonts w:hAnsi="黑体"/>
          <w:color w:val="auto"/>
        </w:rPr>
        <w:t>2</w:t>
      </w:r>
    </w:p>
    <w:p>
      <w:pPr>
        <w:widowControl/>
        <w:spacing w:line="520" w:lineRule="exact"/>
        <w:jc w:val="center"/>
        <w:rPr>
          <w:rFonts w:ascii="方正小标宋_GBK" w:hAnsi="黑体" w:eastAsia="方正小标宋_GBK"/>
          <w:color w:val="auto"/>
          <w:sz w:val="28"/>
          <w:szCs w:val="28"/>
        </w:rPr>
      </w:pPr>
      <w:r>
        <w:rPr>
          <w:rFonts w:hint="eastAsia" w:ascii="方正小标宋_GBK" w:hAnsi="黑体" w:eastAsia="方正小标宋_GBK"/>
          <w:color w:val="auto"/>
          <w:sz w:val="28"/>
          <w:szCs w:val="28"/>
        </w:rPr>
        <w:t>生活垃圾分类绿色单位标准</w:t>
      </w:r>
    </w:p>
    <w:tbl>
      <w:tblPr>
        <w:tblStyle w:val="6"/>
        <w:tblW w:w="1399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1350"/>
        <w:gridCol w:w="1361"/>
        <w:gridCol w:w="761"/>
        <w:gridCol w:w="5528"/>
        <w:gridCol w:w="43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673" w:type="dxa"/>
            <w:noWrap/>
            <w:vAlign w:val="center"/>
          </w:tcPr>
          <w:p>
            <w:pPr>
              <w:jc w:val="center"/>
              <w:rPr>
                <w:rFonts w:hAnsi="仿宋_GB2312" w:cs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b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1350" w:type="dxa"/>
            <w:noWrap/>
            <w:vAlign w:val="center"/>
          </w:tcPr>
          <w:p>
            <w:pPr>
              <w:jc w:val="center"/>
              <w:rPr>
                <w:rFonts w:hAnsi="仿宋_GB2312" w:cs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b/>
                <w:color w:val="auto"/>
                <w:sz w:val="21"/>
                <w:szCs w:val="21"/>
              </w:rPr>
              <w:t>一级指标</w:t>
            </w:r>
          </w:p>
        </w:tc>
        <w:tc>
          <w:tcPr>
            <w:tcW w:w="1361" w:type="dxa"/>
            <w:noWrap/>
            <w:vAlign w:val="center"/>
          </w:tcPr>
          <w:p>
            <w:pPr>
              <w:jc w:val="center"/>
              <w:rPr>
                <w:rFonts w:hAnsi="仿宋_GB2312" w:cs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b/>
                <w:color w:val="auto"/>
                <w:sz w:val="21"/>
                <w:szCs w:val="21"/>
              </w:rPr>
              <w:t>二级指标</w:t>
            </w:r>
          </w:p>
        </w:tc>
        <w:tc>
          <w:tcPr>
            <w:tcW w:w="761" w:type="dxa"/>
            <w:noWrap/>
            <w:vAlign w:val="center"/>
          </w:tcPr>
          <w:p>
            <w:pPr>
              <w:jc w:val="center"/>
              <w:rPr>
                <w:rFonts w:hAnsi="仿宋_GB2312" w:cs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b/>
                <w:color w:val="auto"/>
                <w:sz w:val="21"/>
                <w:szCs w:val="21"/>
              </w:rPr>
              <w:t>分值</w:t>
            </w:r>
          </w:p>
        </w:tc>
        <w:tc>
          <w:tcPr>
            <w:tcW w:w="5528" w:type="dxa"/>
            <w:noWrap/>
            <w:vAlign w:val="center"/>
          </w:tcPr>
          <w:p>
            <w:pPr>
              <w:jc w:val="center"/>
              <w:rPr>
                <w:rFonts w:hAnsi="仿宋_GB2312" w:cs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b/>
                <w:color w:val="auto"/>
                <w:sz w:val="21"/>
                <w:szCs w:val="21"/>
              </w:rPr>
              <w:t>工作内容</w:t>
            </w:r>
          </w:p>
        </w:tc>
        <w:tc>
          <w:tcPr>
            <w:tcW w:w="4319" w:type="dxa"/>
            <w:noWrap/>
            <w:vAlign w:val="center"/>
          </w:tcPr>
          <w:p>
            <w:pPr>
              <w:jc w:val="center"/>
              <w:rPr>
                <w:rFonts w:hAnsi="仿宋_GB2312" w:cs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b/>
                <w:color w:val="auto"/>
                <w:sz w:val="21"/>
                <w:szCs w:val="21"/>
              </w:rPr>
              <w:t>评分标准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673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1</w:t>
            </w:r>
          </w:p>
        </w:tc>
        <w:tc>
          <w:tcPr>
            <w:tcW w:w="1350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组织管理</w:t>
            </w:r>
          </w:p>
          <w:p>
            <w:pPr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（15分）</w:t>
            </w:r>
          </w:p>
        </w:tc>
        <w:tc>
          <w:tcPr>
            <w:tcW w:w="136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before="60" w:line="320" w:lineRule="exact"/>
              <w:jc w:val="center"/>
              <w:rPr>
                <w:rFonts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kern w:val="0"/>
                <w:sz w:val="21"/>
                <w:szCs w:val="21"/>
              </w:rPr>
              <w:t>工作方案</w:t>
            </w:r>
          </w:p>
        </w:tc>
        <w:tc>
          <w:tcPr>
            <w:tcW w:w="76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before="60" w:line="320" w:lineRule="exact"/>
              <w:jc w:val="center"/>
              <w:rPr>
                <w:rFonts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kern w:val="0"/>
                <w:sz w:val="21"/>
                <w:szCs w:val="21"/>
              </w:rPr>
              <w:t>5</w:t>
            </w:r>
          </w:p>
        </w:tc>
        <w:tc>
          <w:tcPr>
            <w:tcW w:w="552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before="60" w:line="320" w:lineRule="exact"/>
              <w:rPr>
                <w:rFonts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kern w:val="0"/>
                <w:sz w:val="21"/>
                <w:szCs w:val="21"/>
              </w:rPr>
              <w:t>制订生活垃圾分类工作方案，落实经费，专人负责。</w:t>
            </w:r>
          </w:p>
        </w:tc>
        <w:tc>
          <w:tcPr>
            <w:tcW w:w="431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before="60" w:line="320" w:lineRule="exact"/>
              <w:rPr>
                <w:rFonts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kern w:val="0"/>
                <w:sz w:val="21"/>
                <w:szCs w:val="21"/>
              </w:rPr>
              <w:t>无工作方案扣5分，无经费保障扣3分，无专人负责扣2分。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673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50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6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before="60" w:line="320" w:lineRule="exact"/>
              <w:jc w:val="center"/>
              <w:rPr>
                <w:rFonts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kern w:val="0"/>
                <w:sz w:val="21"/>
                <w:szCs w:val="21"/>
              </w:rPr>
              <w:t>管理台账</w:t>
            </w:r>
          </w:p>
        </w:tc>
        <w:tc>
          <w:tcPr>
            <w:tcW w:w="76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before="60" w:line="320" w:lineRule="exact"/>
              <w:jc w:val="center"/>
              <w:rPr>
                <w:rFonts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kern w:val="0"/>
                <w:sz w:val="21"/>
                <w:szCs w:val="21"/>
              </w:rPr>
              <w:t>10</w:t>
            </w:r>
          </w:p>
        </w:tc>
        <w:tc>
          <w:tcPr>
            <w:tcW w:w="552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before="60" w:line="320" w:lineRule="exact"/>
              <w:rPr>
                <w:rFonts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kern w:val="0"/>
                <w:sz w:val="21"/>
                <w:szCs w:val="21"/>
              </w:rPr>
              <w:t>建立生活垃圾分类管理台账，详细记录垃圾类别、数量、分类收运以及宣传培训等情况，定期向街道办报送数据。</w:t>
            </w:r>
          </w:p>
        </w:tc>
        <w:tc>
          <w:tcPr>
            <w:tcW w:w="431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before="60" w:line="320" w:lineRule="exact"/>
              <w:rPr>
                <w:rFonts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kern w:val="0"/>
                <w:sz w:val="21"/>
                <w:szCs w:val="21"/>
              </w:rPr>
              <w:t>无管理台账扣10分，台账不完善酌情扣1～5分，没有定期向街道办事处报送数据扣3分，每少一类垃圾收运记录扣1分。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673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2</w:t>
            </w:r>
          </w:p>
        </w:tc>
        <w:tc>
          <w:tcPr>
            <w:tcW w:w="1350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宣传教育</w:t>
            </w:r>
          </w:p>
          <w:p>
            <w:pPr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（20分）</w:t>
            </w:r>
          </w:p>
        </w:tc>
        <w:tc>
          <w:tcPr>
            <w:tcW w:w="136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before="60" w:line="320" w:lineRule="exact"/>
              <w:jc w:val="center"/>
              <w:rPr>
                <w:rFonts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kern w:val="0"/>
                <w:sz w:val="21"/>
                <w:szCs w:val="21"/>
              </w:rPr>
              <w:t>静态宣传</w:t>
            </w:r>
          </w:p>
        </w:tc>
        <w:tc>
          <w:tcPr>
            <w:tcW w:w="76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before="60" w:line="320" w:lineRule="exact"/>
              <w:jc w:val="center"/>
              <w:rPr>
                <w:rFonts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kern w:val="0"/>
                <w:sz w:val="21"/>
                <w:szCs w:val="21"/>
              </w:rPr>
              <w:t>10</w:t>
            </w:r>
          </w:p>
        </w:tc>
        <w:tc>
          <w:tcPr>
            <w:tcW w:w="552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before="60" w:line="320" w:lineRule="exact"/>
              <w:rPr>
                <w:rFonts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kern w:val="0"/>
                <w:sz w:val="21"/>
                <w:szCs w:val="21"/>
              </w:rPr>
              <w:t>张贴宣传海报、分类指引，有电子显示屏的定期播放宣传片或标语，洗手间张贴“节约用纸、用水”提示，食堂张贴“光盘行动”提示。</w:t>
            </w:r>
          </w:p>
        </w:tc>
        <w:tc>
          <w:tcPr>
            <w:tcW w:w="431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before="60" w:line="320" w:lineRule="exact"/>
              <w:rPr>
                <w:rFonts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kern w:val="0"/>
                <w:sz w:val="21"/>
                <w:szCs w:val="21"/>
              </w:rPr>
              <w:t>无宣传资料扣10分，少于三处扣5分。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3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50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6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before="60" w:line="320" w:lineRule="exact"/>
              <w:jc w:val="center"/>
              <w:rPr>
                <w:rFonts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kern w:val="0"/>
                <w:sz w:val="21"/>
                <w:szCs w:val="21"/>
              </w:rPr>
              <w:t>人员培训</w:t>
            </w:r>
          </w:p>
        </w:tc>
        <w:tc>
          <w:tcPr>
            <w:tcW w:w="76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before="60" w:line="320" w:lineRule="exact"/>
              <w:jc w:val="center"/>
              <w:rPr>
                <w:rFonts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kern w:val="0"/>
                <w:sz w:val="21"/>
                <w:szCs w:val="21"/>
              </w:rPr>
              <w:t>10</w:t>
            </w:r>
          </w:p>
        </w:tc>
        <w:tc>
          <w:tcPr>
            <w:tcW w:w="552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before="60" w:line="320" w:lineRule="exact"/>
              <w:rPr>
                <w:rFonts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kern w:val="0"/>
                <w:sz w:val="21"/>
                <w:szCs w:val="21"/>
              </w:rPr>
              <w:t>每年组织职工、物业等人员至少开展一次生活垃圾分类知识培训。</w:t>
            </w:r>
          </w:p>
        </w:tc>
        <w:tc>
          <w:tcPr>
            <w:tcW w:w="431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before="60" w:line="320" w:lineRule="exact"/>
              <w:rPr>
                <w:rFonts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kern w:val="0"/>
                <w:sz w:val="21"/>
                <w:szCs w:val="21"/>
              </w:rPr>
              <w:t>未开展培训扣10分，培训记录不完善酌情扣1～3分。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3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3</w:t>
            </w:r>
          </w:p>
        </w:tc>
        <w:tc>
          <w:tcPr>
            <w:tcW w:w="1350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设施配置</w:t>
            </w:r>
          </w:p>
          <w:p>
            <w:pPr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（35分）</w:t>
            </w:r>
          </w:p>
        </w:tc>
        <w:tc>
          <w:tcPr>
            <w:tcW w:w="136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before="60" w:line="320" w:lineRule="exact"/>
              <w:jc w:val="center"/>
              <w:rPr>
                <w:rFonts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kern w:val="0"/>
                <w:sz w:val="21"/>
                <w:szCs w:val="21"/>
              </w:rPr>
              <w:t>集中投放点</w:t>
            </w:r>
          </w:p>
        </w:tc>
        <w:tc>
          <w:tcPr>
            <w:tcW w:w="76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before="60" w:line="320" w:lineRule="exact"/>
              <w:jc w:val="center"/>
              <w:rPr>
                <w:rFonts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kern w:val="0"/>
                <w:sz w:val="21"/>
                <w:szCs w:val="21"/>
              </w:rPr>
              <w:t>15</w:t>
            </w:r>
          </w:p>
        </w:tc>
        <w:tc>
          <w:tcPr>
            <w:tcW w:w="552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before="60" w:line="320" w:lineRule="exac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kern w:val="0"/>
                <w:sz w:val="21"/>
                <w:szCs w:val="21"/>
              </w:rPr>
              <w:t>每个单位或围合至少设置1个集中投放点，设置有害垃圾、废弃玻璃、废弃金属、废弃塑料、废弃纸类和其他垃圾收集容器。</w:t>
            </w:r>
          </w:p>
        </w:tc>
        <w:tc>
          <w:tcPr>
            <w:tcW w:w="431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before="60" w:line="320" w:lineRule="exac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kern w:val="0"/>
                <w:sz w:val="21"/>
                <w:szCs w:val="21"/>
              </w:rPr>
              <w:t>无集中投放点扣15分，每缺少一类分类容器扣2分。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3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50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6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before="60" w:line="320" w:lineRule="exact"/>
              <w:jc w:val="center"/>
              <w:rPr>
                <w:rFonts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kern w:val="0"/>
                <w:sz w:val="21"/>
                <w:szCs w:val="21"/>
              </w:rPr>
              <w:t>餐厨垃圾</w:t>
            </w:r>
          </w:p>
        </w:tc>
        <w:tc>
          <w:tcPr>
            <w:tcW w:w="76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before="60" w:line="320" w:lineRule="exact"/>
              <w:jc w:val="center"/>
              <w:rPr>
                <w:rFonts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kern w:val="0"/>
                <w:sz w:val="21"/>
                <w:szCs w:val="21"/>
              </w:rPr>
              <w:t>10</w:t>
            </w:r>
          </w:p>
        </w:tc>
        <w:tc>
          <w:tcPr>
            <w:tcW w:w="552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before="60" w:line="320" w:lineRule="exact"/>
              <w:rPr>
                <w:rFonts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kern w:val="0"/>
                <w:sz w:val="21"/>
                <w:szCs w:val="21"/>
              </w:rPr>
              <w:t>食堂设置餐厨垃圾收集容器，与餐厨垃圾收运企业签订收运协议。</w:t>
            </w:r>
          </w:p>
        </w:tc>
        <w:tc>
          <w:tcPr>
            <w:tcW w:w="431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before="60" w:line="320" w:lineRule="exact"/>
              <w:rPr>
                <w:rFonts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kern w:val="0"/>
                <w:sz w:val="21"/>
                <w:szCs w:val="21"/>
              </w:rPr>
              <w:t>未设置餐厨垃圾收集容器扣5分，未与收运企业签约扣5分。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673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50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6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before="60" w:line="320" w:lineRule="exact"/>
              <w:jc w:val="center"/>
              <w:rPr>
                <w:rFonts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kern w:val="0"/>
                <w:sz w:val="21"/>
                <w:szCs w:val="21"/>
              </w:rPr>
              <w:t>分类标志</w:t>
            </w:r>
          </w:p>
        </w:tc>
        <w:tc>
          <w:tcPr>
            <w:tcW w:w="76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before="60" w:line="320" w:lineRule="exact"/>
              <w:jc w:val="center"/>
              <w:rPr>
                <w:rFonts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kern w:val="0"/>
                <w:sz w:val="21"/>
                <w:szCs w:val="21"/>
              </w:rPr>
              <w:t>5</w:t>
            </w:r>
          </w:p>
        </w:tc>
        <w:tc>
          <w:tcPr>
            <w:tcW w:w="552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before="60" w:line="320" w:lineRule="exact"/>
              <w:rPr>
                <w:rFonts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分类收集容器、指引牌等分类标志正确、清晰。</w:t>
            </w:r>
          </w:p>
        </w:tc>
        <w:tc>
          <w:tcPr>
            <w:tcW w:w="431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before="60" w:line="320" w:lineRule="exact"/>
              <w:rPr>
                <w:rFonts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每发现一处分类标志错误或污损严重扣1分。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673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before="60" w:line="320" w:lineRule="exact"/>
              <w:jc w:val="center"/>
              <w:rPr>
                <w:rFonts w:hAnsi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50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before="60" w:line="320" w:lineRule="exact"/>
              <w:jc w:val="center"/>
              <w:rPr>
                <w:rFonts w:hAnsi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6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before="60" w:line="320" w:lineRule="exact"/>
              <w:jc w:val="center"/>
              <w:rPr>
                <w:rFonts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kern w:val="0"/>
                <w:sz w:val="21"/>
                <w:szCs w:val="21"/>
              </w:rPr>
              <w:t>日常维护</w:t>
            </w:r>
          </w:p>
        </w:tc>
        <w:tc>
          <w:tcPr>
            <w:tcW w:w="76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before="60" w:line="320" w:lineRule="exact"/>
              <w:jc w:val="center"/>
              <w:rPr>
                <w:rFonts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kern w:val="0"/>
                <w:sz w:val="21"/>
                <w:szCs w:val="21"/>
              </w:rPr>
              <w:t>5</w:t>
            </w:r>
          </w:p>
        </w:tc>
        <w:tc>
          <w:tcPr>
            <w:tcW w:w="552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before="60" w:line="320" w:lineRule="exact"/>
              <w:rPr>
                <w:rFonts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kern w:val="0"/>
                <w:sz w:val="21"/>
                <w:szCs w:val="21"/>
              </w:rPr>
              <w:t>分类收集容器和设施干净整洁、功能完好。</w:t>
            </w:r>
          </w:p>
        </w:tc>
        <w:tc>
          <w:tcPr>
            <w:tcW w:w="431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before="60" w:line="320" w:lineRule="exact"/>
              <w:jc w:val="left"/>
              <w:rPr>
                <w:rFonts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kern w:val="0"/>
                <w:sz w:val="21"/>
                <w:szCs w:val="21"/>
              </w:rPr>
              <w:t>每发现一处不符合要求扣1分。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3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4</w:t>
            </w:r>
          </w:p>
        </w:tc>
        <w:tc>
          <w:tcPr>
            <w:tcW w:w="1350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分类成效</w:t>
            </w:r>
          </w:p>
          <w:p>
            <w:pPr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（20分）</w:t>
            </w:r>
          </w:p>
        </w:tc>
        <w:tc>
          <w:tcPr>
            <w:tcW w:w="136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before="60" w:line="320" w:lineRule="exact"/>
              <w:jc w:val="center"/>
              <w:rPr>
                <w:rFonts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kern w:val="0"/>
                <w:sz w:val="21"/>
                <w:szCs w:val="21"/>
              </w:rPr>
              <w:t>知晓率</w:t>
            </w:r>
          </w:p>
        </w:tc>
        <w:tc>
          <w:tcPr>
            <w:tcW w:w="76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before="60" w:line="320" w:lineRule="exact"/>
              <w:jc w:val="center"/>
              <w:rPr>
                <w:rFonts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kern w:val="0"/>
                <w:sz w:val="21"/>
                <w:szCs w:val="21"/>
              </w:rPr>
              <w:t>10</w:t>
            </w:r>
          </w:p>
        </w:tc>
        <w:tc>
          <w:tcPr>
            <w:tcW w:w="552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before="60" w:line="320" w:lineRule="exact"/>
              <w:rPr>
                <w:rFonts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kern w:val="0"/>
                <w:sz w:val="21"/>
                <w:szCs w:val="21"/>
              </w:rPr>
              <w:t>全体职工熟悉生活垃圾分类知识，知晓率达90%以上。</w:t>
            </w:r>
          </w:p>
        </w:tc>
        <w:tc>
          <w:tcPr>
            <w:tcW w:w="431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before="60" w:line="320" w:lineRule="exact"/>
              <w:rPr>
                <w:rFonts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发放调查问卷，</w:t>
            </w:r>
            <w:r>
              <w:rPr>
                <w:rFonts w:hint="eastAsia" w:hAnsi="仿宋_GB2312" w:cs="仿宋_GB2312"/>
                <w:color w:val="auto"/>
                <w:kern w:val="0"/>
                <w:sz w:val="21"/>
                <w:szCs w:val="21"/>
              </w:rPr>
              <w:t>调查问卷平均分在90分及以上不扣分，达到80分</w:t>
            </w:r>
            <w:r>
              <w:rPr>
                <w:rFonts w:hint="eastAsia" w:hAnsi="仿宋_GB2312" w:cs="仿宋_GB2312"/>
                <w:color w:val="auto"/>
                <w:kern w:val="0"/>
                <w:sz w:val="21"/>
                <w:szCs w:val="21"/>
                <w:lang w:eastAsia="zh-CN"/>
              </w:rPr>
              <w:t>但</w:t>
            </w:r>
            <w:r>
              <w:rPr>
                <w:rFonts w:hint="eastAsia" w:hAnsi="仿宋_GB2312" w:cs="仿宋_GB2312"/>
                <w:color w:val="auto"/>
                <w:kern w:val="0"/>
                <w:sz w:val="21"/>
                <w:szCs w:val="21"/>
              </w:rPr>
              <w:t>不足90分扣2分，达到70分</w:t>
            </w:r>
            <w:r>
              <w:rPr>
                <w:rFonts w:hint="eastAsia" w:hAnsi="仿宋_GB2312" w:cs="仿宋_GB2312"/>
                <w:color w:val="auto"/>
                <w:kern w:val="0"/>
                <w:sz w:val="21"/>
                <w:szCs w:val="21"/>
                <w:lang w:eastAsia="zh-CN"/>
              </w:rPr>
              <w:t>但</w:t>
            </w:r>
            <w:r>
              <w:rPr>
                <w:rFonts w:hint="eastAsia" w:hAnsi="仿宋_GB2312" w:cs="仿宋_GB2312"/>
                <w:color w:val="auto"/>
                <w:kern w:val="0"/>
                <w:sz w:val="21"/>
                <w:szCs w:val="21"/>
              </w:rPr>
              <w:t>不足80分扣4分，达到60分</w:t>
            </w:r>
            <w:r>
              <w:rPr>
                <w:rFonts w:hint="eastAsia" w:hAnsi="仿宋_GB2312" w:cs="仿宋_GB2312"/>
                <w:color w:val="auto"/>
                <w:kern w:val="0"/>
                <w:sz w:val="21"/>
                <w:szCs w:val="21"/>
                <w:lang w:eastAsia="zh-CN"/>
              </w:rPr>
              <w:t>但</w:t>
            </w:r>
            <w:r>
              <w:rPr>
                <w:rFonts w:hint="eastAsia" w:hAnsi="仿宋_GB2312" w:cs="仿宋_GB2312"/>
                <w:color w:val="auto"/>
                <w:kern w:val="0"/>
                <w:sz w:val="21"/>
                <w:szCs w:val="21"/>
              </w:rPr>
              <w:t>不足70分扣6分，60分以下不得分。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3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50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6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before="60" w:line="320" w:lineRule="exact"/>
              <w:jc w:val="center"/>
              <w:rPr>
                <w:rFonts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kern w:val="0"/>
                <w:sz w:val="21"/>
                <w:szCs w:val="21"/>
              </w:rPr>
              <w:t>参与率</w:t>
            </w:r>
          </w:p>
        </w:tc>
        <w:tc>
          <w:tcPr>
            <w:tcW w:w="76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before="60" w:line="320" w:lineRule="exact"/>
              <w:jc w:val="center"/>
              <w:rPr>
                <w:rFonts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kern w:val="0"/>
                <w:sz w:val="21"/>
                <w:szCs w:val="21"/>
              </w:rPr>
              <w:t>10</w:t>
            </w:r>
          </w:p>
        </w:tc>
        <w:tc>
          <w:tcPr>
            <w:tcW w:w="552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before="60" w:line="320" w:lineRule="exact"/>
              <w:rPr>
                <w:rFonts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kern w:val="0"/>
                <w:sz w:val="21"/>
                <w:szCs w:val="21"/>
              </w:rPr>
              <w:t>全体职工生活垃圾分类参与率达70%以上。</w:t>
            </w:r>
          </w:p>
        </w:tc>
        <w:tc>
          <w:tcPr>
            <w:tcW w:w="431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before="60" w:line="320" w:lineRule="exact"/>
              <w:rPr>
                <w:rFonts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kern w:val="0"/>
                <w:sz w:val="21"/>
                <w:szCs w:val="21"/>
              </w:rPr>
              <w:t>参与率达到70%及以上不扣分，达到60%</w:t>
            </w:r>
            <w:r>
              <w:rPr>
                <w:rFonts w:hint="eastAsia" w:hAnsi="仿宋_GB2312" w:cs="仿宋_GB2312"/>
                <w:color w:val="auto"/>
                <w:kern w:val="0"/>
                <w:sz w:val="21"/>
                <w:szCs w:val="21"/>
                <w:lang w:eastAsia="zh-CN"/>
              </w:rPr>
              <w:t>但</w:t>
            </w:r>
            <w:r>
              <w:rPr>
                <w:rFonts w:hint="eastAsia" w:hAnsi="仿宋_GB2312" w:cs="仿宋_GB2312"/>
                <w:color w:val="auto"/>
                <w:kern w:val="0"/>
                <w:sz w:val="21"/>
                <w:szCs w:val="21"/>
              </w:rPr>
              <w:t>不足70%扣3分，达到50%</w:t>
            </w:r>
            <w:r>
              <w:rPr>
                <w:rFonts w:hint="eastAsia" w:hAnsi="仿宋_GB2312" w:cs="仿宋_GB2312"/>
                <w:color w:val="auto"/>
                <w:kern w:val="0"/>
                <w:sz w:val="21"/>
                <w:szCs w:val="21"/>
                <w:lang w:eastAsia="zh-CN"/>
              </w:rPr>
              <w:t>但</w:t>
            </w:r>
            <w:r>
              <w:rPr>
                <w:rFonts w:hint="eastAsia" w:hAnsi="仿宋_GB2312" w:cs="仿宋_GB2312"/>
                <w:color w:val="auto"/>
                <w:kern w:val="0"/>
                <w:sz w:val="21"/>
                <w:szCs w:val="21"/>
              </w:rPr>
              <w:t>不足60%扣6分，50%以下不得分。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73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5</w:t>
            </w:r>
          </w:p>
        </w:tc>
        <w:tc>
          <w:tcPr>
            <w:tcW w:w="1350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源头减量</w:t>
            </w:r>
          </w:p>
          <w:p>
            <w:pPr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（10分）</w:t>
            </w:r>
          </w:p>
        </w:tc>
        <w:tc>
          <w:tcPr>
            <w:tcW w:w="136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资源节约</w:t>
            </w:r>
          </w:p>
        </w:tc>
        <w:tc>
          <w:tcPr>
            <w:tcW w:w="76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before="60" w:line="320" w:lineRule="exact"/>
              <w:jc w:val="center"/>
              <w:rPr>
                <w:rFonts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5</w:t>
            </w:r>
          </w:p>
        </w:tc>
        <w:tc>
          <w:tcPr>
            <w:tcW w:w="552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before="60" w:line="320" w:lineRule="exact"/>
              <w:rPr>
                <w:rFonts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kern w:val="0"/>
                <w:sz w:val="21"/>
                <w:szCs w:val="21"/>
              </w:rPr>
              <w:t>不使用一次性杯子、餐具等用品。</w:t>
            </w:r>
          </w:p>
        </w:tc>
        <w:tc>
          <w:tcPr>
            <w:tcW w:w="431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before="60" w:line="320" w:lineRule="exact"/>
              <w:rPr>
                <w:rFonts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kern w:val="0"/>
                <w:sz w:val="21"/>
                <w:szCs w:val="21"/>
              </w:rPr>
              <w:t>每发现一处使用一次性用品扣1分。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673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before="60" w:line="320" w:lineRule="exact"/>
              <w:rPr>
                <w:rFonts w:hAnsi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50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before="60" w:line="320" w:lineRule="exact"/>
              <w:rPr>
                <w:rFonts w:hAnsi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6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before="60" w:line="320" w:lineRule="exact"/>
              <w:jc w:val="center"/>
              <w:rPr>
                <w:rFonts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kern w:val="0"/>
                <w:sz w:val="21"/>
                <w:szCs w:val="21"/>
              </w:rPr>
              <w:t>低碳办公</w:t>
            </w:r>
          </w:p>
        </w:tc>
        <w:tc>
          <w:tcPr>
            <w:tcW w:w="76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before="60" w:line="320" w:lineRule="exact"/>
              <w:jc w:val="center"/>
              <w:rPr>
                <w:rFonts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kern w:val="0"/>
                <w:sz w:val="21"/>
                <w:szCs w:val="21"/>
              </w:rPr>
              <w:t>5</w:t>
            </w:r>
          </w:p>
        </w:tc>
        <w:tc>
          <w:tcPr>
            <w:tcW w:w="552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before="60" w:line="320" w:lineRule="exact"/>
              <w:rPr>
                <w:rFonts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kern w:val="0"/>
                <w:sz w:val="21"/>
                <w:szCs w:val="21"/>
              </w:rPr>
              <w:t>纸张双面使用，减少使用纸张。</w:t>
            </w:r>
          </w:p>
        </w:tc>
        <w:tc>
          <w:tcPr>
            <w:tcW w:w="431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before="60" w:line="320" w:lineRule="exact"/>
              <w:rPr>
                <w:rFonts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kern w:val="0"/>
                <w:sz w:val="21"/>
                <w:szCs w:val="21"/>
              </w:rPr>
              <w:t>每发现一处没有双面使用纸张扣1分。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384" w:type="dxa"/>
            <w:gridSpan w:val="3"/>
            <w:noWrap/>
            <w:vAlign w:val="center"/>
          </w:tcPr>
          <w:p>
            <w:pPr>
              <w:widowControl/>
              <w:adjustRightInd w:val="0"/>
              <w:snapToGrid w:val="0"/>
              <w:spacing w:before="60" w:line="320" w:lineRule="exact"/>
              <w:jc w:val="center"/>
              <w:rPr>
                <w:rFonts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kern w:val="0"/>
                <w:sz w:val="21"/>
                <w:szCs w:val="21"/>
              </w:rPr>
              <w:t>合计</w:t>
            </w:r>
          </w:p>
        </w:tc>
        <w:tc>
          <w:tcPr>
            <w:tcW w:w="10608" w:type="dxa"/>
            <w:gridSpan w:val="3"/>
            <w:noWrap/>
            <w:vAlign w:val="center"/>
          </w:tcPr>
          <w:p>
            <w:pPr>
              <w:widowControl/>
              <w:adjustRightInd w:val="0"/>
              <w:snapToGrid w:val="0"/>
              <w:spacing w:before="60" w:line="320" w:lineRule="exact"/>
              <w:jc w:val="center"/>
              <w:rPr>
                <w:rFonts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kern w:val="0"/>
                <w:sz w:val="21"/>
                <w:szCs w:val="21"/>
              </w:rPr>
              <w:t>100分</w:t>
            </w:r>
            <w:r>
              <w:rPr>
                <w:rFonts w:hint="eastAsia" w:hAnsi="仿宋_GB2312" w:cs="仿宋_GB2312"/>
                <w:bCs/>
                <w:color w:val="auto"/>
                <w:sz w:val="21"/>
                <w:szCs w:val="21"/>
              </w:rPr>
              <w:t>（85分以上为成效显著）</w:t>
            </w:r>
          </w:p>
        </w:tc>
      </w:tr>
    </w:tbl>
    <w:p>
      <w:pPr>
        <w:spacing w:line="560" w:lineRule="exact"/>
        <w:rPr>
          <w:rFonts w:hAnsi="黑体"/>
          <w:color w:val="auto"/>
        </w:rPr>
      </w:pPr>
      <w:r>
        <w:rPr>
          <w:rFonts w:hAnsi="仿宋"/>
          <w:color w:val="auto"/>
        </w:rPr>
        <w:br w:type="page"/>
      </w:r>
      <w:r>
        <w:rPr>
          <w:rFonts w:hint="eastAsia" w:hAnsi="黑体"/>
          <w:color w:val="auto"/>
        </w:rPr>
        <w:t>附件</w:t>
      </w:r>
      <w:r>
        <w:rPr>
          <w:rFonts w:hAnsi="黑体"/>
          <w:color w:val="auto"/>
        </w:rPr>
        <w:t>3</w:t>
      </w:r>
    </w:p>
    <w:p>
      <w:pPr>
        <w:spacing w:line="560" w:lineRule="exact"/>
        <w:jc w:val="center"/>
        <w:rPr>
          <w:rFonts w:ascii="方正小标宋_GBK" w:hAnsi="黑体" w:eastAsia="方正小标宋_GBK"/>
          <w:color w:val="auto"/>
          <w:sz w:val="28"/>
          <w:szCs w:val="28"/>
        </w:rPr>
      </w:pPr>
      <w:r>
        <w:rPr>
          <w:rFonts w:hint="eastAsia" w:ascii="方正小标宋_GBK" w:hAnsi="黑体" w:eastAsia="方正小标宋_GBK"/>
          <w:color w:val="auto"/>
          <w:sz w:val="28"/>
          <w:szCs w:val="28"/>
        </w:rPr>
        <w:t>生活垃圾分类绿色学校标准（幼儿园）</w:t>
      </w:r>
    </w:p>
    <w:tbl>
      <w:tblPr>
        <w:tblStyle w:val="6"/>
        <w:tblW w:w="1399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1189"/>
        <w:gridCol w:w="1411"/>
        <w:gridCol w:w="706"/>
        <w:gridCol w:w="5683"/>
        <w:gridCol w:w="42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tblHeader/>
          <w:jc w:val="center"/>
        </w:trPr>
        <w:tc>
          <w:tcPr>
            <w:tcW w:w="77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Ansi="仿宋" w:cs="仿宋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hAnsi="仿宋" w:cs="仿宋"/>
                <w:b/>
                <w:color w:val="auto"/>
                <w:kern w:val="0"/>
                <w:sz w:val="21"/>
                <w:szCs w:val="21"/>
              </w:rPr>
              <w:t>序号</w:t>
            </w:r>
          </w:p>
        </w:tc>
        <w:tc>
          <w:tcPr>
            <w:tcW w:w="118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Ansi="仿宋" w:cs="仿宋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hAnsi="仿宋" w:cs="仿宋"/>
                <w:b/>
                <w:color w:val="auto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41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Ansi="仿宋" w:cs="仿宋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hAnsi="仿宋" w:cs="仿宋"/>
                <w:b/>
                <w:color w:val="auto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Ansi="仿宋" w:cs="仿宋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hAnsi="仿宋" w:cs="仿宋"/>
                <w:b/>
                <w:color w:val="auto"/>
                <w:kern w:val="0"/>
                <w:sz w:val="21"/>
                <w:szCs w:val="21"/>
              </w:rPr>
              <w:t>分值</w:t>
            </w:r>
          </w:p>
        </w:tc>
        <w:tc>
          <w:tcPr>
            <w:tcW w:w="568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Ansi="仿宋" w:cs="仿宋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hAnsi="仿宋" w:cs="仿宋"/>
                <w:b/>
                <w:color w:val="auto"/>
                <w:kern w:val="0"/>
                <w:sz w:val="21"/>
                <w:szCs w:val="21"/>
              </w:rPr>
              <w:t>评估内容</w:t>
            </w:r>
          </w:p>
        </w:tc>
        <w:tc>
          <w:tcPr>
            <w:tcW w:w="423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Ansi="仿宋" w:cs="仿宋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hAnsi="仿宋" w:cs="仿宋"/>
                <w:b/>
                <w:color w:val="auto"/>
                <w:kern w:val="0"/>
                <w:sz w:val="21"/>
                <w:szCs w:val="21"/>
              </w:rPr>
              <w:t>评分标准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771" w:type="dxa"/>
            <w:vMerge w:val="restart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1</w:t>
            </w:r>
          </w:p>
        </w:tc>
        <w:tc>
          <w:tcPr>
            <w:tcW w:w="1189" w:type="dxa"/>
            <w:vMerge w:val="restart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组织管理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（20分）</w:t>
            </w:r>
          </w:p>
        </w:tc>
        <w:tc>
          <w:tcPr>
            <w:tcW w:w="141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人员和经费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10</w:t>
            </w:r>
          </w:p>
        </w:tc>
        <w:tc>
          <w:tcPr>
            <w:tcW w:w="568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制订垃圾分类工作方案，成立垃圾分类工作领导小组且园长任组长，指定专人负责垃圾分类，安排垃圾分类经费。</w:t>
            </w:r>
            <w:r>
              <w:rPr>
                <w:rFonts w:ascii="宋体" w:hAnsi="宋体" w:eastAsia="宋体"/>
                <w:color w:val="auto"/>
                <w:sz w:val="21"/>
                <w:szCs w:val="21"/>
              </w:rPr>
              <w:t>★</w:t>
            </w:r>
          </w:p>
        </w:tc>
        <w:tc>
          <w:tcPr>
            <w:tcW w:w="423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未制订方案扣10分，未成立领导小组或园长未任组长扣6分，未指定专人扣2分，未安排垃圾分类经费扣2分。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771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189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1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管理制度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4</w:t>
            </w:r>
          </w:p>
        </w:tc>
        <w:tc>
          <w:tcPr>
            <w:tcW w:w="568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建立并实施垃圾分类检查考评制度。</w:t>
            </w:r>
          </w:p>
        </w:tc>
        <w:tc>
          <w:tcPr>
            <w:tcW w:w="423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未建立校园垃圾分类检查考评制度扣2分，未实施校园垃圾分类检查考评制度扣2分。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771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189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1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台账管理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6</w:t>
            </w:r>
          </w:p>
        </w:tc>
        <w:tc>
          <w:tcPr>
            <w:tcW w:w="568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建立完善垃圾分类台账，记录学生参与情况，登记生活垃圾种类、数量、去向等信息，并与收运单位做好签收工作。</w:t>
            </w:r>
            <w:r>
              <w:rPr>
                <w:rFonts w:ascii="宋体" w:hAnsi="宋体" w:eastAsia="宋体"/>
                <w:color w:val="auto"/>
                <w:sz w:val="21"/>
                <w:szCs w:val="21"/>
              </w:rPr>
              <w:t>★</w:t>
            </w:r>
          </w:p>
        </w:tc>
        <w:tc>
          <w:tcPr>
            <w:tcW w:w="423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无台账记录扣6分，台账记录不完善酌情扣1～6分。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771" w:type="dxa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2</w:t>
            </w:r>
          </w:p>
        </w:tc>
        <w:tc>
          <w:tcPr>
            <w:tcW w:w="1189" w:type="dxa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宣传教育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（20分）</w:t>
            </w:r>
          </w:p>
        </w:tc>
        <w:tc>
          <w:tcPr>
            <w:tcW w:w="141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静态宣传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5</w:t>
            </w:r>
          </w:p>
        </w:tc>
        <w:tc>
          <w:tcPr>
            <w:tcW w:w="568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生活区、教学区、办公区的宣传栏应张贴垃圾分类宣传海报，有电子显示屏的应不定期播放宣传片或宣传标语。</w:t>
            </w:r>
          </w:p>
        </w:tc>
        <w:tc>
          <w:tcPr>
            <w:tcW w:w="423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根据佐证资料酌情扣分。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771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189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1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人员培训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5</w:t>
            </w:r>
          </w:p>
        </w:tc>
        <w:tc>
          <w:tcPr>
            <w:tcW w:w="568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每学年至少组织开展1次垃圾分类教育培训，教师、学生、后勤等人员掌握基本知识、方法和要求。培训记录应包括现场照片、签到表、培训材料等。</w:t>
            </w:r>
          </w:p>
        </w:tc>
        <w:tc>
          <w:tcPr>
            <w:tcW w:w="423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未开展培训扣5分，培训记录不完善酌情扣1～2分。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771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189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1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教研活动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10</w:t>
            </w:r>
          </w:p>
        </w:tc>
        <w:tc>
          <w:tcPr>
            <w:tcW w:w="568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将垃圾分类知识融入课堂教学，组织幼儿学习第三版垃圾分类教育读本（幼儿园）。</w:t>
            </w:r>
            <w:r>
              <w:rPr>
                <w:rFonts w:ascii="宋体" w:hAnsi="宋体" w:eastAsia="宋体"/>
                <w:color w:val="auto"/>
                <w:sz w:val="21"/>
                <w:szCs w:val="21"/>
              </w:rPr>
              <w:t>★</w:t>
            </w:r>
          </w:p>
        </w:tc>
        <w:tc>
          <w:tcPr>
            <w:tcW w:w="423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垃圾分类知识未融入课堂的酌情扣1～5分，未组织学习第三版垃圾分类教育读本（幼儿园）扣5分。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771" w:type="dxa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3</w:t>
            </w:r>
          </w:p>
        </w:tc>
        <w:tc>
          <w:tcPr>
            <w:tcW w:w="1189" w:type="dxa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社会实践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（20分）</w:t>
            </w:r>
          </w:p>
        </w:tc>
        <w:tc>
          <w:tcPr>
            <w:tcW w:w="141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主题活动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10</w:t>
            </w:r>
          </w:p>
        </w:tc>
        <w:tc>
          <w:tcPr>
            <w:tcW w:w="568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每年至少组织师生开展2次垃圾分类的主题活动，调动幼儿积极性，激发兴趣活力。</w:t>
            </w:r>
          </w:p>
        </w:tc>
        <w:tc>
          <w:tcPr>
            <w:tcW w:w="423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未开展活动扣10分，少组织一次扣5分，没有活动方案扣3分，没有活动记录扣3分。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771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189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1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校外实践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10</w:t>
            </w:r>
          </w:p>
        </w:tc>
        <w:tc>
          <w:tcPr>
            <w:tcW w:w="568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每年至少组织师生参加1次校外参观体验活动，科普生活垃圾处理知识。</w:t>
            </w:r>
          </w:p>
        </w:tc>
        <w:tc>
          <w:tcPr>
            <w:tcW w:w="423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未开展活动扣10分，没有活动方案扣3分，没有活动过程记录扣3分。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771" w:type="dxa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4</w:t>
            </w:r>
          </w:p>
        </w:tc>
        <w:tc>
          <w:tcPr>
            <w:tcW w:w="1189" w:type="dxa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设施建设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（15）</w:t>
            </w:r>
          </w:p>
        </w:tc>
        <w:tc>
          <w:tcPr>
            <w:tcW w:w="1411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集中投放点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8</w:t>
            </w:r>
          </w:p>
        </w:tc>
        <w:tc>
          <w:tcPr>
            <w:tcW w:w="568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每个垃圾投放点改造为集中投放点，统一设置有害垃圾（电池、灯管）、废弃玻璃、废弃金属、废弃塑料、废弃纸类、其他垃圾等收集容器,并设置投放指引牌，确因场地限制无法设置指引牌的应利用墙体、宣传栏等张贴指引，分类收集容器、指引牌及投放点分类标志正确、清晰。</w:t>
            </w:r>
            <w:r>
              <w:rPr>
                <w:rFonts w:ascii="宋体" w:hAnsi="宋体" w:eastAsia="宋体"/>
                <w:color w:val="auto"/>
                <w:sz w:val="21"/>
                <w:szCs w:val="21"/>
              </w:rPr>
              <w:t>★</w:t>
            </w:r>
          </w:p>
        </w:tc>
        <w:tc>
          <w:tcPr>
            <w:tcW w:w="423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每缺少一类分类容器扣1分，标志、指引不正确或不清晰扣1～2分。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71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189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11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资源回收站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5</w:t>
            </w:r>
          </w:p>
        </w:tc>
        <w:tc>
          <w:tcPr>
            <w:tcW w:w="568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应设置资源回收站，分类贮存可回收物和有害垃圾。</w:t>
            </w:r>
          </w:p>
        </w:tc>
        <w:tc>
          <w:tcPr>
            <w:tcW w:w="423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不设置扣5分，管理不规范扣2分。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771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189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11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日常维护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2</w:t>
            </w:r>
          </w:p>
        </w:tc>
        <w:tc>
          <w:tcPr>
            <w:tcW w:w="568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分类收集容器和设施干净整洁、功能完好。</w:t>
            </w:r>
          </w:p>
        </w:tc>
        <w:tc>
          <w:tcPr>
            <w:tcW w:w="423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每发现一处不符合要求，扣1分。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771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5</w:t>
            </w:r>
          </w:p>
        </w:tc>
        <w:tc>
          <w:tcPr>
            <w:tcW w:w="1189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分类成效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（15分）</w:t>
            </w:r>
          </w:p>
        </w:tc>
        <w:tc>
          <w:tcPr>
            <w:tcW w:w="1411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参与率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15</w:t>
            </w:r>
          </w:p>
        </w:tc>
        <w:tc>
          <w:tcPr>
            <w:tcW w:w="568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kern w:val="0"/>
                <w:sz w:val="21"/>
                <w:szCs w:val="21"/>
              </w:rPr>
              <w:t>学校每年应组织学生在家开展垃圾分类，全体学生中参与投放2次（含）的学生应超过85%以上，参与10次（含）的学生应为30%以上。</w:t>
            </w:r>
            <w:r>
              <w:rPr>
                <w:rFonts w:ascii="宋体" w:hAnsi="宋体" w:eastAsia="宋体"/>
                <w:color w:val="auto"/>
                <w:sz w:val="21"/>
                <w:szCs w:val="21"/>
              </w:rPr>
              <w:t>★</w:t>
            </w:r>
          </w:p>
        </w:tc>
        <w:tc>
          <w:tcPr>
            <w:tcW w:w="423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kern w:val="0"/>
                <w:sz w:val="21"/>
                <w:szCs w:val="21"/>
              </w:rPr>
              <w:t>未达到要求不得分。（需有详细台账证明）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771" w:type="dxa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6</w:t>
            </w:r>
          </w:p>
        </w:tc>
        <w:tc>
          <w:tcPr>
            <w:tcW w:w="1189" w:type="dxa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源头减量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（10分）</w:t>
            </w:r>
          </w:p>
        </w:tc>
        <w:tc>
          <w:tcPr>
            <w:tcW w:w="141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绿色就餐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5</w:t>
            </w:r>
          </w:p>
        </w:tc>
        <w:tc>
          <w:tcPr>
            <w:tcW w:w="568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开展光盘行动，在学校食堂等地张贴光盘行动海报、图贴、标语等宣传物料；与餐厨垃圾收运企业签约，做好餐厨垃圾收运台账；不使用一次性杯具和餐具。</w:t>
            </w:r>
          </w:p>
        </w:tc>
        <w:tc>
          <w:tcPr>
            <w:tcW w:w="423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根据光盘行动宣传氛围酌情扣1分，未与餐厨垃圾收运企业签约扣1分，没有餐厨垃圾收运台账扣1分，使用一次性杯具或者餐具的扣2分。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71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189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1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低碳办公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5</w:t>
            </w:r>
          </w:p>
        </w:tc>
        <w:tc>
          <w:tcPr>
            <w:tcW w:w="568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纸张双面使用，不用或少用一次性签字笔，优先使用可重复使用的办公用品。</w:t>
            </w:r>
          </w:p>
        </w:tc>
        <w:tc>
          <w:tcPr>
            <w:tcW w:w="423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根据佐证资料酌情扣分。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7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7</w:t>
            </w:r>
          </w:p>
        </w:tc>
        <w:tc>
          <w:tcPr>
            <w:tcW w:w="118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特色加分（10）</w:t>
            </w:r>
          </w:p>
        </w:tc>
        <w:tc>
          <w:tcPr>
            <w:tcW w:w="141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特色条件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10</w:t>
            </w:r>
          </w:p>
        </w:tc>
        <w:tc>
          <w:tcPr>
            <w:tcW w:w="568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长期开展垃圾分类为主题等相关环保活动，建立学校垃圾分类大数据平台，平台运行6个月以上。</w:t>
            </w:r>
          </w:p>
        </w:tc>
        <w:tc>
          <w:tcPr>
            <w:tcW w:w="423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根据佐证资料酌情扣分。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3992" w:type="dxa"/>
            <w:gridSpan w:val="6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Ansi="仿宋_GB2312" w:cs="仿宋_GB2312"/>
                <w:color w:val="auto"/>
                <w:sz w:val="21"/>
                <w:szCs w:val="21"/>
              </w:rPr>
              <w:t>1</w:t>
            </w: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Ansi="仿宋_GB2312" w:cs="仿宋_GB2312"/>
                <w:color w:val="auto"/>
                <w:sz w:val="21"/>
                <w:szCs w:val="21"/>
              </w:rPr>
              <w:t>★项为必达指标，必达指标不具备，将取消</w:t>
            </w: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申报资格。</w:t>
            </w:r>
            <w:r>
              <w:rPr>
                <w:rFonts w:hAnsi="仿宋_GB2312" w:cs="仿宋_GB2312"/>
                <w:color w:val="auto"/>
                <w:sz w:val="21"/>
                <w:szCs w:val="21"/>
              </w:rPr>
              <w:t>2</w:t>
            </w: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Ansi="仿宋_GB2312" w:cs="仿宋_GB2312"/>
                <w:color w:val="auto"/>
                <w:sz w:val="21"/>
                <w:szCs w:val="21"/>
              </w:rPr>
              <w:t>含特色加分，总分须达到95分以上，方可参与申报</w:t>
            </w: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。</w:t>
            </w:r>
          </w:p>
        </w:tc>
      </w:tr>
    </w:tbl>
    <w:p>
      <w:pPr>
        <w:widowControl/>
        <w:spacing w:line="520" w:lineRule="exact"/>
        <w:jc w:val="center"/>
        <w:rPr>
          <w:rFonts w:ascii="方正小标宋_GBK" w:hAnsi="黑体" w:eastAsia="方正小标宋_GBK"/>
          <w:color w:val="auto"/>
          <w:sz w:val="28"/>
          <w:szCs w:val="28"/>
        </w:rPr>
      </w:pPr>
      <w:r>
        <w:rPr>
          <w:rFonts w:hAnsi="仿宋_GB2312" w:cs="仿宋_GB2312"/>
          <w:color w:val="auto"/>
          <w:szCs w:val="21"/>
        </w:rPr>
        <w:br w:type="page"/>
      </w:r>
      <w:r>
        <w:rPr>
          <w:rFonts w:hint="eastAsia" w:ascii="方正小标宋_GBK" w:hAnsi="黑体" w:eastAsia="方正小标宋_GBK"/>
          <w:color w:val="auto"/>
          <w:sz w:val="28"/>
          <w:szCs w:val="28"/>
        </w:rPr>
        <w:t>生活垃圾分类绿色学校标准（中小学）</w:t>
      </w:r>
    </w:p>
    <w:tbl>
      <w:tblPr>
        <w:tblStyle w:val="6"/>
        <w:tblW w:w="1399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317"/>
        <w:gridCol w:w="1676"/>
        <w:gridCol w:w="694"/>
        <w:gridCol w:w="5018"/>
        <w:gridCol w:w="45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tblHeader/>
          <w:jc w:val="center"/>
        </w:trPr>
        <w:tc>
          <w:tcPr>
            <w:tcW w:w="69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Ansi="仿宋" w:cs="仿宋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hAnsi="仿宋" w:cs="仿宋"/>
                <w:b/>
                <w:color w:val="auto"/>
                <w:kern w:val="0"/>
                <w:sz w:val="21"/>
                <w:szCs w:val="21"/>
              </w:rPr>
              <w:t>序号</w:t>
            </w:r>
          </w:p>
        </w:tc>
        <w:tc>
          <w:tcPr>
            <w:tcW w:w="131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Ansi="仿宋" w:cs="仿宋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hAnsi="仿宋" w:cs="仿宋"/>
                <w:b/>
                <w:color w:val="auto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6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Ansi="仿宋" w:cs="仿宋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hAnsi="仿宋" w:cs="仿宋"/>
                <w:b/>
                <w:color w:val="auto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69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Ansi="仿宋" w:cs="仿宋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hAnsi="仿宋" w:cs="仿宋"/>
                <w:b/>
                <w:color w:val="auto"/>
                <w:kern w:val="0"/>
                <w:sz w:val="21"/>
                <w:szCs w:val="21"/>
              </w:rPr>
              <w:t>分值</w:t>
            </w:r>
          </w:p>
        </w:tc>
        <w:tc>
          <w:tcPr>
            <w:tcW w:w="501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Ansi="仿宋" w:cs="仿宋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hAnsi="仿宋" w:cs="仿宋"/>
                <w:b/>
                <w:color w:val="auto"/>
                <w:kern w:val="0"/>
                <w:sz w:val="21"/>
                <w:szCs w:val="21"/>
              </w:rPr>
              <w:t>评估内容</w:t>
            </w:r>
          </w:p>
        </w:tc>
        <w:tc>
          <w:tcPr>
            <w:tcW w:w="458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Ansi="仿宋" w:cs="仿宋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hAnsi="仿宋" w:cs="仿宋"/>
                <w:b/>
                <w:color w:val="auto"/>
                <w:kern w:val="0"/>
                <w:sz w:val="21"/>
                <w:szCs w:val="21"/>
              </w:rPr>
              <w:t>评分标准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699" w:type="dxa"/>
            <w:vMerge w:val="restart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1</w:t>
            </w:r>
          </w:p>
        </w:tc>
        <w:tc>
          <w:tcPr>
            <w:tcW w:w="1317" w:type="dxa"/>
            <w:vMerge w:val="restart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组织管理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（20分）</w:t>
            </w:r>
          </w:p>
        </w:tc>
        <w:tc>
          <w:tcPr>
            <w:tcW w:w="16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人员和经费</w:t>
            </w:r>
          </w:p>
        </w:tc>
        <w:tc>
          <w:tcPr>
            <w:tcW w:w="69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10</w:t>
            </w:r>
          </w:p>
        </w:tc>
        <w:tc>
          <w:tcPr>
            <w:tcW w:w="501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制订垃圾分类工作方案，成立垃圾分类工作领导小组且校长任组长，指定专人负责垃圾分类，安排垃圾分类经费。</w:t>
            </w:r>
            <w:r>
              <w:rPr>
                <w:rFonts w:ascii="宋体" w:hAnsi="宋体" w:eastAsia="宋体"/>
                <w:color w:val="auto"/>
                <w:sz w:val="21"/>
                <w:szCs w:val="21"/>
              </w:rPr>
              <w:t>★</w:t>
            </w:r>
          </w:p>
        </w:tc>
        <w:tc>
          <w:tcPr>
            <w:tcW w:w="458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未制订方案扣10分，未成立领导小组或校长未任组长扣6分，未指定专人扣2分，未安排垃圾分类经费扣2分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699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17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6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管理制度</w:t>
            </w:r>
          </w:p>
        </w:tc>
        <w:tc>
          <w:tcPr>
            <w:tcW w:w="69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4</w:t>
            </w:r>
          </w:p>
        </w:tc>
        <w:tc>
          <w:tcPr>
            <w:tcW w:w="501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建立并实施校园垃圾分类检查考评制度，将生活垃圾分类知识和行为规范纳入综合评价体系。</w:t>
            </w:r>
          </w:p>
        </w:tc>
        <w:tc>
          <w:tcPr>
            <w:tcW w:w="458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未建立并实施垃圾分类检查考评制度扣2分，未将生活垃圾分类知识和行为规范纳入综合评价体系酌情扣1～2分。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699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17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6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台账管理</w:t>
            </w:r>
          </w:p>
        </w:tc>
        <w:tc>
          <w:tcPr>
            <w:tcW w:w="69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6</w:t>
            </w:r>
          </w:p>
        </w:tc>
        <w:tc>
          <w:tcPr>
            <w:tcW w:w="501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建立完善垃圾分类台账，记录学生参与情况，登记生活垃圾种类、数量、去向等信息，并与收运单位做好签收工作。</w:t>
            </w:r>
            <w:r>
              <w:rPr>
                <w:rFonts w:ascii="宋体" w:hAnsi="宋体" w:eastAsia="宋体"/>
                <w:color w:val="auto"/>
                <w:sz w:val="21"/>
                <w:szCs w:val="21"/>
              </w:rPr>
              <w:t>★</w:t>
            </w:r>
          </w:p>
        </w:tc>
        <w:tc>
          <w:tcPr>
            <w:tcW w:w="458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无台账记录扣6分，台账记录不完善酌情扣1～6分。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699" w:type="dxa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2</w:t>
            </w:r>
          </w:p>
        </w:tc>
        <w:tc>
          <w:tcPr>
            <w:tcW w:w="1317" w:type="dxa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宣传教育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（20分）</w:t>
            </w:r>
          </w:p>
        </w:tc>
        <w:tc>
          <w:tcPr>
            <w:tcW w:w="16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静态宣传</w:t>
            </w:r>
          </w:p>
        </w:tc>
        <w:tc>
          <w:tcPr>
            <w:tcW w:w="69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5</w:t>
            </w:r>
          </w:p>
        </w:tc>
        <w:tc>
          <w:tcPr>
            <w:tcW w:w="501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生活区、教学区、办公区的宣传栏应张贴垃圾分类宣传海报，有电子显示屏的应不定期播放宣传片或宣传标语。</w:t>
            </w:r>
          </w:p>
        </w:tc>
        <w:tc>
          <w:tcPr>
            <w:tcW w:w="458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根据佐证资料酌情扣分。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699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17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6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人员培训</w:t>
            </w:r>
          </w:p>
        </w:tc>
        <w:tc>
          <w:tcPr>
            <w:tcW w:w="69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5</w:t>
            </w:r>
          </w:p>
        </w:tc>
        <w:tc>
          <w:tcPr>
            <w:tcW w:w="501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每学年至少组织开展1次生活垃圾分类量教育培训，使教师、学生、后勤等人员掌握基本知识、方法和要求。培训记录应包括现场照片、签到表、培训材料等。</w:t>
            </w:r>
          </w:p>
        </w:tc>
        <w:tc>
          <w:tcPr>
            <w:tcW w:w="458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未开展培训扣5分，培训记录不完善酌情扣1～2分。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699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17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6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教研活动</w:t>
            </w:r>
          </w:p>
        </w:tc>
        <w:tc>
          <w:tcPr>
            <w:tcW w:w="69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10</w:t>
            </w:r>
          </w:p>
        </w:tc>
        <w:tc>
          <w:tcPr>
            <w:tcW w:w="501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将垃圾分类知识纳入教本课程，成立垃圾分类教研工作室且校长任负责人，根据自身实际和教育特色开发特色课程，把普及垃圾分类、资源循环利用融入课堂教学，组织学生学习第三版垃圾分类教育读本。</w:t>
            </w:r>
            <w:r>
              <w:rPr>
                <w:rFonts w:ascii="宋体" w:hAnsi="宋体" w:eastAsia="宋体"/>
                <w:color w:val="auto"/>
                <w:sz w:val="21"/>
                <w:szCs w:val="21"/>
              </w:rPr>
              <w:t>★</w:t>
            </w:r>
          </w:p>
        </w:tc>
        <w:tc>
          <w:tcPr>
            <w:tcW w:w="458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未纳入教本课程扣2分，未成立教研工作室扣2分，未开发特色课程扣2分，未融入课堂教学扣2分，未组织学生学习第三版垃圾分类教育读本扣2分。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699" w:type="dxa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3</w:t>
            </w:r>
          </w:p>
        </w:tc>
        <w:tc>
          <w:tcPr>
            <w:tcW w:w="1317" w:type="dxa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社会实践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（15分）</w:t>
            </w:r>
          </w:p>
        </w:tc>
        <w:tc>
          <w:tcPr>
            <w:tcW w:w="16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主题活动</w:t>
            </w:r>
          </w:p>
        </w:tc>
        <w:tc>
          <w:tcPr>
            <w:tcW w:w="69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5</w:t>
            </w:r>
          </w:p>
        </w:tc>
        <w:tc>
          <w:tcPr>
            <w:tcW w:w="501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每年至少组织师生开展2次垃圾分类的主题活动，调动学生积极性，激发兴趣活力。</w:t>
            </w:r>
          </w:p>
        </w:tc>
        <w:tc>
          <w:tcPr>
            <w:tcW w:w="458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未开展活动扣5分，少组织一次扣3分，没有活动方案扣1分，没有活动记录扣3分。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699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17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6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校外实践</w:t>
            </w:r>
          </w:p>
        </w:tc>
        <w:tc>
          <w:tcPr>
            <w:tcW w:w="69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5</w:t>
            </w:r>
          </w:p>
        </w:tc>
        <w:tc>
          <w:tcPr>
            <w:tcW w:w="501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每年至少组织师生参加1次校外参观体验活动，科普生活垃圾处理知识。</w:t>
            </w:r>
          </w:p>
        </w:tc>
        <w:tc>
          <w:tcPr>
            <w:tcW w:w="458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未开展活动扣5分，没有活动方案扣1分，没有活动记录扣3分。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699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17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67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志愿者行动</w:t>
            </w:r>
          </w:p>
        </w:tc>
        <w:tc>
          <w:tcPr>
            <w:tcW w:w="69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5</w:t>
            </w:r>
          </w:p>
        </w:tc>
        <w:tc>
          <w:tcPr>
            <w:tcW w:w="501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每年至少组织师生参与1次志愿者行动，开展垃圾分类宣传和实践活动。</w:t>
            </w:r>
          </w:p>
        </w:tc>
        <w:tc>
          <w:tcPr>
            <w:tcW w:w="458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未开展活动扣5分，没有活动方案扣1分，没有活动记录扣3分。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699" w:type="dxa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4</w:t>
            </w:r>
          </w:p>
        </w:tc>
        <w:tc>
          <w:tcPr>
            <w:tcW w:w="1317" w:type="dxa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设施建设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（15）</w:t>
            </w:r>
          </w:p>
        </w:tc>
        <w:tc>
          <w:tcPr>
            <w:tcW w:w="1676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集中投放点</w:t>
            </w:r>
          </w:p>
        </w:tc>
        <w:tc>
          <w:tcPr>
            <w:tcW w:w="69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8</w:t>
            </w:r>
          </w:p>
        </w:tc>
        <w:tc>
          <w:tcPr>
            <w:tcW w:w="501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每个垃圾投放点改造为集中投放点，统一设置有害垃圾（电池、灯管）、废弃玻璃、废弃金属、废弃塑料、废弃纸类、其他垃圾等收集容器,并设置投放指引牌，确因场地限制无法设置指引牌的应利用墙体、宣传栏等张贴指引，分类收集容器、指引版及投放点分类标志正确、清晰。</w:t>
            </w:r>
            <w:r>
              <w:rPr>
                <w:rFonts w:ascii="宋体" w:hAnsi="宋体" w:eastAsia="宋体"/>
                <w:color w:val="auto"/>
                <w:sz w:val="21"/>
                <w:szCs w:val="21"/>
              </w:rPr>
              <w:t>★</w:t>
            </w:r>
          </w:p>
        </w:tc>
        <w:tc>
          <w:tcPr>
            <w:tcW w:w="458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每缺少一类分类容器扣1分，标志、指引不正确或不清晰扣1～2分。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699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17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676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资源回收站</w:t>
            </w:r>
          </w:p>
        </w:tc>
        <w:tc>
          <w:tcPr>
            <w:tcW w:w="69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5</w:t>
            </w:r>
          </w:p>
        </w:tc>
        <w:tc>
          <w:tcPr>
            <w:tcW w:w="501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应设置资源回收站，分类贮存可回收物和有害垃圾。</w:t>
            </w:r>
          </w:p>
        </w:tc>
        <w:tc>
          <w:tcPr>
            <w:tcW w:w="458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不设置扣5分，管理不规范扣2分。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699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17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676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日常维护</w:t>
            </w:r>
          </w:p>
        </w:tc>
        <w:tc>
          <w:tcPr>
            <w:tcW w:w="69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2</w:t>
            </w:r>
          </w:p>
        </w:tc>
        <w:tc>
          <w:tcPr>
            <w:tcW w:w="501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分类收集容器和设施干净整洁、功能完好。</w:t>
            </w:r>
          </w:p>
        </w:tc>
        <w:tc>
          <w:tcPr>
            <w:tcW w:w="458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每发现一处不符合要求扣0.5分，扣完为止。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699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5</w:t>
            </w:r>
          </w:p>
        </w:tc>
        <w:tc>
          <w:tcPr>
            <w:tcW w:w="131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分类成效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（15分）</w:t>
            </w:r>
          </w:p>
        </w:tc>
        <w:tc>
          <w:tcPr>
            <w:tcW w:w="1676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参与率</w:t>
            </w:r>
          </w:p>
        </w:tc>
        <w:tc>
          <w:tcPr>
            <w:tcW w:w="69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15</w:t>
            </w:r>
          </w:p>
        </w:tc>
        <w:tc>
          <w:tcPr>
            <w:tcW w:w="501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kern w:val="0"/>
                <w:sz w:val="21"/>
                <w:szCs w:val="21"/>
              </w:rPr>
              <w:t>学校每年应组织学生在家开展垃圾分类，全体学生中参与投放2次以上（含）的学生应超过85%以上，参与10次（含）的学生应为40%以上。</w:t>
            </w:r>
            <w:r>
              <w:rPr>
                <w:rFonts w:ascii="宋体" w:hAnsi="宋体" w:eastAsia="宋体"/>
                <w:color w:val="auto"/>
                <w:sz w:val="21"/>
                <w:szCs w:val="21"/>
              </w:rPr>
              <w:t>★</w:t>
            </w:r>
          </w:p>
        </w:tc>
        <w:tc>
          <w:tcPr>
            <w:tcW w:w="458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kern w:val="0"/>
                <w:sz w:val="21"/>
                <w:szCs w:val="21"/>
              </w:rPr>
              <w:t>未达到要求不得分。（需有详细台账证明）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699" w:type="dxa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6</w:t>
            </w:r>
          </w:p>
        </w:tc>
        <w:tc>
          <w:tcPr>
            <w:tcW w:w="1317" w:type="dxa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源头减量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（15分）</w:t>
            </w:r>
          </w:p>
        </w:tc>
        <w:tc>
          <w:tcPr>
            <w:tcW w:w="16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绿色就餐</w:t>
            </w:r>
          </w:p>
        </w:tc>
        <w:tc>
          <w:tcPr>
            <w:tcW w:w="69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10</w:t>
            </w:r>
          </w:p>
        </w:tc>
        <w:tc>
          <w:tcPr>
            <w:tcW w:w="501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开展光盘行动，在学校食堂等地张贴光盘行动海报、图贴、标语等宣传物料；有食堂的学校安排督导员指导就餐人员做好垃圾分类；与餐厨垃圾收运企业签约，做好餐厨垃圾收运台账；不使用一次性杯具和餐具。</w:t>
            </w:r>
            <w:r>
              <w:rPr>
                <w:rFonts w:ascii="宋体" w:hAnsi="宋体" w:eastAsia="宋体"/>
                <w:color w:val="auto"/>
                <w:sz w:val="21"/>
                <w:szCs w:val="21"/>
              </w:rPr>
              <w:t>★</w:t>
            </w:r>
          </w:p>
        </w:tc>
        <w:tc>
          <w:tcPr>
            <w:tcW w:w="458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根据光盘行动宣传氛围酌情扣1～2分，有食堂的学校未安排督导员扣2分，未与餐厨垃圾收运企业签约扣2分，未有餐厨垃圾收运台账扣2分，台账不完整酌情扣分，使用一次性杯具或者餐具的扣2分。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699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17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6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低碳办公</w:t>
            </w:r>
          </w:p>
        </w:tc>
        <w:tc>
          <w:tcPr>
            <w:tcW w:w="69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5</w:t>
            </w:r>
          </w:p>
        </w:tc>
        <w:tc>
          <w:tcPr>
            <w:tcW w:w="501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纸张双面使用，不用或少用一次性签字笔，优先使用可重复使用的办公用品。</w:t>
            </w:r>
          </w:p>
        </w:tc>
        <w:tc>
          <w:tcPr>
            <w:tcW w:w="458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根据佐证资料酌情扣分。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69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7</w:t>
            </w:r>
          </w:p>
        </w:tc>
        <w:tc>
          <w:tcPr>
            <w:tcW w:w="131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特色加分（10）</w:t>
            </w:r>
          </w:p>
        </w:tc>
        <w:tc>
          <w:tcPr>
            <w:tcW w:w="16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特色条件</w:t>
            </w:r>
          </w:p>
        </w:tc>
        <w:tc>
          <w:tcPr>
            <w:tcW w:w="69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10</w:t>
            </w:r>
          </w:p>
        </w:tc>
        <w:tc>
          <w:tcPr>
            <w:tcW w:w="501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长期开展垃圾分类为主题等相关环保活动，建立学校垃圾分类大数据平台，平台运行6个月以上。</w:t>
            </w:r>
          </w:p>
        </w:tc>
        <w:tc>
          <w:tcPr>
            <w:tcW w:w="458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根据佐证资料酌情扣分。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3992" w:type="dxa"/>
            <w:gridSpan w:val="6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Ansi="仿宋_GB2312" w:cs="仿宋_GB2312"/>
                <w:color w:val="auto"/>
                <w:sz w:val="21"/>
                <w:szCs w:val="21"/>
              </w:rPr>
              <w:t>1.★项为必达指标，必达指标不具备，将取消</w:t>
            </w: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申报资格。</w:t>
            </w:r>
            <w:r>
              <w:rPr>
                <w:rFonts w:hAnsi="仿宋_GB2312" w:cs="仿宋_GB2312"/>
                <w:color w:val="auto"/>
                <w:sz w:val="21"/>
                <w:szCs w:val="21"/>
              </w:rPr>
              <w:t>2</w:t>
            </w: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Ansi="仿宋_GB2312" w:cs="仿宋_GB2312"/>
                <w:color w:val="auto"/>
                <w:sz w:val="21"/>
                <w:szCs w:val="21"/>
              </w:rPr>
              <w:t>含特色加分，总分须达到95分以上，方可参与申报</w:t>
            </w: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。</w:t>
            </w:r>
          </w:p>
        </w:tc>
      </w:tr>
    </w:tbl>
    <w:p>
      <w:pPr>
        <w:widowControl/>
        <w:jc w:val="center"/>
        <w:rPr>
          <w:rFonts w:ascii="方正小标宋_GBK" w:hAnsi="黑体" w:eastAsia="方正小标宋_GBK"/>
          <w:color w:val="auto"/>
          <w:sz w:val="28"/>
          <w:szCs w:val="28"/>
        </w:rPr>
      </w:pPr>
      <w:r>
        <w:rPr>
          <w:rFonts w:ascii="方正小标宋_GBK" w:hAnsi="黑体" w:eastAsia="方正小标宋_GBK"/>
          <w:color w:val="auto"/>
          <w:sz w:val="28"/>
          <w:szCs w:val="28"/>
        </w:rPr>
        <w:br w:type="page"/>
      </w:r>
      <w:r>
        <w:rPr>
          <w:rFonts w:hint="eastAsia" w:ascii="方正小标宋_GBK" w:hAnsi="黑体" w:eastAsia="方正小标宋_GBK"/>
          <w:color w:val="auto"/>
          <w:sz w:val="28"/>
          <w:szCs w:val="28"/>
        </w:rPr>
        <w:t>生活垃圾分类绿色学校标准（高校）</w:t>
      </w:r>
    </w:p>
    <w:tbl>
      <w:tblPr>
        <w:tblStyle w:val="6"/>
        <w:tblW w:w="1399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144"/>
        <w:gridCol w:w="1516"/>
        <w:gridCol w:w="704"/>
        <w:gridCol w:w="5653"/>
        <w:gridCol w:w="42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tblHeader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Ansi="仿宋" w:cs="仿宋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hAnsi="仿宋" w:cs="仿宋"/>
                <w:b/>
                <w:color w:val="auto"/>
                <w:kern w:val="0"/>
                <w:sz w:val="21"/>
                <w:szCs w:val="21"/>
              </w:rPr>
              <w:t>序号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Ansi="仿宋" w:cs="仿宋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hAnsi="仿宋" w:cs="仿宋"/>
                <w:b/>
                <w:color w:val="auto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51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Ansi="仿宋" w:cs="仿宋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hAnsi="仿宋" w:cs="仿宋"/>
                <w:b/>
                <w:color w:val="auto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70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Ansi="仿宋" w:cs="仿宋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hAnsi="仿宋" w:cs="仿宋"/>
                <w:b/>
                <w:color w:val="auto"/>
                <w:kern w:val="0"/>
                <w:sz w:val="21"/>
                <w:szCs w:val="21"/>
              </w:rPr>
              <w:t>分值</w:t>
            </w:r>
          </w:p>
        </w:tc>
        <w:tc>
          <w:tcPr>
            <w:tcW w:w="565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Ansi="仿宋" w:cs="仿宋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hAnsi="仿宋" w:cs="仿宋"/>
                <w:b/>
                <w:color w:val="auto"/>
                <w:kern w:val="0"/>
                <w:sz w:val="21"/>
                <w:szCs w:val="21"/>
              </w:rPr>
              <w:t>评估内容</w:t>
            </w:r>
          </w:p>
        </w:tc>
        <w:tc>
          <w:tcPr>
            <w:tcW w:w="426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Ansi="仿宋" w:cs="仿宋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hAnsi="仿宋" w:cs="仿宋"/>
                <w:b/>
                <w:color w:val="auto"/>
                <w:kern w:val="0"/>
                <w:sz w:val="21"/>
                <w:szCs w:val="21"/>
              </w:rPr>
              <w:t>评分标准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709" w:type="dxa"/>
            <w:vMerge w:val="restart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1</w:t>
            </w:r>
          </w:p>
        </w:tc>
        <w:tc>
          <w:tcPr>
            <w:tcW w:w="1144" w:type="dxa"/>
            <w:vMerge w:val="restart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组织管理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（20分）</w:t>
            </w:r>
          </w:p>
        </w:tc>
        <w:tc>
          <w:tcPr>
            <w:tcW w:w="151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人员和经费</w:t>
            </w:r>
          </w:p>
        </w:tc>
        <w:tc>
          <w:tcPr>
            <w:tcW w:w="70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10</w:t>
            </w:r>
          </w:p>
        </w:tc>
        <w:tc>
          <w:tcPr>
            <w:tcW w:w="565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制订垃圾分类工作方案，成立垃圾分类工作领导小组且校长任组长，指定专人负责垃圾分类，安排垃圾分类经费。</w:t>
            </w:r>
            <w:r>
              <w:rPr>
                <w:rFonts w:ascii="宋体" w:hAnsi="宋体" w:eastAsia="宋体"/>
                <w:color w:val="auto"/>
                <w:sz w:val="21"/>
                <w:szCs w:val="21"/>
              </w:rPr>
              <w:t>★</w:t>
            </w:r>
          </w:p>
        </w:tc>
        <w:tc>
          <w:tcPr>
            <w:tcW w:w="426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未制订方案扣10分，未成立领导小组或校长未任组长扣6分，未指定专人扣2分，未安排垃圾分类经费扣2分。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709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144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51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管理制度</w:t>
            </w:r>
          </w:p>
        </w:tc>
        <w:tc>
          <w:tcPr>
            <w:tcW w:w="70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4</w:t>
            </w:r>
          </w:p>
        </w:tc>
        <w:tc>
          <w:tcPr>
            <w:tcW w:w="565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宋体" w:cs="仿宋_GB2312"/>
                <w:color w:val="auto"/>
                <w:sz w:val="21"/>
                <w:szCs w:val="22"/>
              </w:rPr>
              <w:t>建立并实施校园垃圾分类检查考评制度，将生活垃圾分类知识和行为规范纳入综合评价体系。</w:t>
            </w:r>
          </w:p>
        </w:tc>
        <w:tc>
          <w:tcPr>
            <w:tcW w:w="426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宋体" w:cs="仿宋_GB2312"/>
                <w:color w:val="auto"/>
                <w:sz w:val="21"/>
                <w:szCs w:val="22"/>
              </w:rPr>
              <w:t>未建立并实施垃圾分类检查考评制度扣2分，未将生活垃圾分类知识和行为规范纳入综合评价体系酌情扣1</w:t>
            </w:r>
            <w:r>
              <w:rPr>
                <w:rFonts w:hint="eastAsia" w:hAnsi="仿宋_GB2312" w:cs="仿宋_GB2312"/>
                <w:color w:val="auto"/>
                <w:sz w:val="21"/>
                <w:szCs w:val="22"/>
              </w:rPr>
              <w:t>～</w:t>
            </w:r>
            <w:r>
              <w:rPr>
                <w:rFonts w:hint="eastAsia" w:hAnsi="宋体" w:cs="仿宋_GB2312"/>
                <w:color w:val="auto"/>
                <w:sz w:val="21"/>
                <w:szCs w:val="22"/>
              </w:rPr>
              <w:t>2分。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709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51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台账管理</w:t>
            </w:r>
          </w:p>
        </w:tc>
        <w:tc>
          <w:tcPr>
            <w:tcW w:w="70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6</w:t>
            </w:r>
          </w:p>
        </w:tc>
        <w:tc>
          <w:tcPr>
            <w:tcW w:w="565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建立完善垃圾分类台账，记录学生参与情况，登记生活垃圾种类、数量、去向等信息，并与收运单位做好签收工作。</w:t>
            </w:r>
          </w:p>
        </w:tc>
        <w:tc>
          <w:tcPr>
            <w:tcW w:w="426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无台账记录扣6分，台账记录不完善酌情扣1～6分。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709" w:type="dxa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2</w:t>
            </w:r>
          </w:p>
        </w:tc>
        <w:tc>
          <w:tcPr>
            <w:tcW w:w="1144" w:type="dxa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宣传教育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（20分）</w:t>
            </w:r>
          </w:p>
        </w:tc>
        <w:tc>
          <w:tcPr>
            <w:tcW w:w="151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静态宣传</w:t>
            </w:r>
          </w:p>
        </w:tc>
        <w:tc>
          <w:tcPr>
            <w:tcW w:w="70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5</w:t>
            </w:r>
          </w:p>
        </w:tc>
        <w:tc>
          <w:tcPr>
            <w:tcW w:w="565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生活区、教学区、办公区的宣传栏应张贴垃圾分类宣传海报，有电子显示屏的应不定期播放宣传片或宣传标语。</w:t>
            </w:r>
          </w:p>
        </w:tc>
        <w:tc>
          <w:tcPr>
            <w:tcW w:w="426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根据佐证资料酌情扣分。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709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144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51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人员培训</w:t>
            </w:r>
          </w:p>
        </w:tc>
        <w:tc>
          <w:tcPr>
            <w:tcW w:w="70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5</w:t>
            </w:r>
          </w:p>
        </w:tc>
        <w:tc>
          <w:tcPr>
            <w:tcW w:w="565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每学年至少组织开展2次生活垃圾分类教育培训，使教师、学生、后勤等人员掌握基本知识、方法和要求。培训记录应包括现场照片、签到表、培训材料等。</w:t>
            </w:r>
          </w:p>
        </w:tc>
        <w:tc>
          <w:tcPr>
            <w:tcW w:w="426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未开展培训扣5分，少一次扣3分，培训记录不完善酌情扣1～2分。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709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51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教研活动</w:t>
            </w:r>
          </w:p>
        </w:tc>
        <w:tc>
          <w:tcPr>
            <w:tcW w:w="70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10</w:t>
            </w:r>
          </w:p>
        </w:tc>
        <w:tc>
          <w:tcPr>
            <w:tcW w:w="565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成立垃圾分类教研工作室，校长任负责人；根据自身实际和教育特色开展生活垃圾分类科学研究；将生活垃圾分类内容纳入选修课程。</w:t>
            </w:r>
            <w:r>
              <w:rPr>
                <w:rFonts w:ascii="宋体" w:hAnsi="宋体" w:eastAsia="宋体"/>
                <w:color w:val="auto"/>
                <w:sz w:val="21"/>
                <w:szCs w:val="21"/>
              </w:rPr>
              <w:t>★</w:t>
            </w:r>
          </w:p>
        </w:tc>
        <w:tc>
          <w:tcPr>
            <w:tcW w:w="426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未成立教研工作室扣5分，未开展生活垃圾分类科学研究扣3分，未将垃圾分类内容纳入选修课程扣2分。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09" w:type="dxa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3</w:t>
            </w:r>
          </w:p>
        </w:tc>
        <w:tc>
          <w:tcPr>
            <w:tcW w:w="1144" w:type="dxa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社会实践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（15分）</w:t>
            </w:r>
          </w:p>
        </w:tc>
        <w:tc>
          <w:tcPr>
            <w:tcW w:w="151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主题活动</w:t>
            </w:r>
          </w:p>
        </w:tc>
        <w:tc>
          <w:tcPr>
            <w:tcW w:w="70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5</w:t>
            </w:r>
          </w:p>
        </w:tc>
        <w:tc>
          <w:tcPr>
            <w:tcW w:w="565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每年至少组织师生开展2次生活垃圾分类的主题活动，调动学生积极性，激发兴趣活力。</w:t>
            </w:r>
          </w:p>
        </w:tc>
        <w:tc>
          <w:tcPr>
            <w:tcW w:w="426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未开展活动扣5分，少组织一次扣3分，没有活动方案扣1分，没有活动记录扣3分。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709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144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51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校外实践</w:t>
            </w:r>
          </w:p>
        </w:tc>
        <w:tc>
          <w:tcPr>
            <w:tcW w:w="70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5</w:t>
            </w:r>
          </w:p>
        </w:tc>
        <w:tc>
          <w:tcPr>
            <w:tcW w:w="565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每年至少组织师生参加1次校外参观体验活动，科普生活垃圾处理知识和技术。</w:t>
            </w:r>
          </w:p>
        </w:tc>
        <w:tc>
          <w:tcPr>
            <w:tcW w:w="426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未开展的扣5分，没有活动方案扣1分，没有活动记录扣3分。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09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51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志愿者行动</w:t>
            </w:r>
          </w:p>
        </w:tc>
        <w:tc>
          <w:tcPr>
            <w:tcW w:w="70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5</w:t>
            </w:r>
          </w:p>
        </w:tc>
        <w:tc>
          <w:tcPr>
            <w:tcW w:w="565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每年至少组织师生参与2次志愿者行动，开展生活垃圾分类宣传和实践活动。</w:t>
            </w:r>
          </w:p>
        </w:tc>
        <w:tc>
          <w:tcPr>
            <w:tcW w:w="426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未开展活动扣5分，少组织一次扣3分，没有活动方案扣1分，没有活动记录扣3分。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709" w:type="dxa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4</w:t>
            </w:r>
          </w:p>
        </w:tc>
        <w:tc>
          <w:tcPr>
            <w:tcW w:w="1144" w:type="dxa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设施建设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（15）</w:t>
            </w:r>
          </w:p>
        </w:tc>
        <w:tc>
          <w:tcPr>
            <w:tcW w:w="1516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集中投放点</w:t>
            </w:r>
          </w:p>
        </w:tc>
        <w:tc>
          <w:tcPr>
            <w:tcW w:w="70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8</w:t>
            </w:r>
          </w:p>
        </w:tc>
        <w:tc>
          <w:tcPr>
            <w:tcW w:w="565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每个垃圾投放点改造为集中投放点，统一设置有害垃圾（电池、灯管）、废弃玻璃、废弃金属、废弃塑料、废弃纸类、其他垃圾等收集容器,并设置投放指引牌，确因场地限制无法设置指引牌的应利用墙体、宣传栏等张贴指引内容，分类收集容器、指引版及投放点分类标志正确、清晰。</w:t>
            </w:r>
            <w:r>
              <w:rPr>
                <w:rFonts w:ascii="宋体" w:hAnsi="宋体" w:eastAsia="宋体"/>
                <w:color w:val="auto"/>
                <w:sz w:val="21"/>
                <w:szCs w:val="21"/>
              </w:rPr>
              <w:t>★</w:t>
            </w:r>
          </w:p>
        </w:tc>
        <w:tc>
          <w:tcPr>
            <w:tcW w:w="426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每缺少一类分类容器扣1分，标志、指引不正确或不清晰扣1～2分。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709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144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516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废旧织物</w:t>
            </w:r>
          </w:p>
          <w:p>
            <w:pPr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回收箱</w:t>
            </w:r>
          </w:p>
        </w:tc>
        <w:tc>
          <w:tcPr>
            <w:tcW w:w="70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2</w:t>
            </w:r>
          </w:p>
        </w:tc>
        <w:tc>
          <w:tcPr>
            <w:tcW w:w="5653" w:type="dxa"/>
            <w:noWrap/>
            <w:vAlign w:val="center"/>
          </w:tcPr>
          <w:p>
            <w:pPr>
              <w:spacing w:line="320" w:lineRule="exac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有宿舍的高校至少设置1个废旧织物回收箱，箱体应标示备案编号、回收及监管电话、投放指引及回收处理流程。</w:t>
            </w:r>
          </w:p>
        </w:tc>
        <w:tc>
          <w:tcPr>
            <w:tcW w:w="4266" w:type="dxa"/>
            <w:noWrap/>
            <w:vAlign w:val="center"/>
          </w:tcPr>
          <w:p>
            <w:pPr>
              <w:spacing w:line="320" w:lineRule="exac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未设置回收箱扣3分，箱体标示不规范的扣1分。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709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144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516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资源回收站</w:t>
            </w:r>
          </w:p>
        </w:tc>
        <w:tc>
          <w:tcPr>
            <w:tcW w:w="70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3</w:t>
            </w:r>
          </w:p>
        </w:tc>
        <w:tc>
          <w:tcPr>
            <w:tcW w:w="565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应设置资源回收站，分类贮存可回收物和有害垃圾。</w:t>
            </w:r>
            <w:r>
              <w:rPr>
                <w:rFonts w:ascii="宋体" w:hAnsi="宋体" w:eastAsia="宋体"/>
                <w:color w:val="auto"/>
                <w:sz w:val="21"/>
                <w:szCs w:val="21"/>
              </w:rPr>
              <w:t>★</w:t>
            </w:r>
          </w:p>
        </w:tc>
        <w:tc>
          <w:tcPr>
            <w:tcW w:w="426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不设置扣3分，管理不规范扣1～2分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09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516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日常维护</w:t>
            </w:r>
          </w:p>
        </w:tc>
        <w:tc>
          <w:tcPr>
            <w:tcW w:w="70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2</w:t>
            </w:r>
          </w:p>
        </w:tc>
        <w:tc>
          <w:tcPr>
            <w:tcW w:w="565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分类收集容器和设施干净整洁、功能完好。</w:t>
            </w:r>
          </w:p>
        </w:tc>
        <w:tc>
          <w:tcPr>
            <w:tcW w:w="426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每发现一处不符合要求扣1分。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09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5</w:t>
            </w:r>
          </w:p>
        </w:tc>
        <w:tc>
          <w:tcPr>
            <w:tcW w:w="1144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分类成效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（15分）</w:t>
            </w:r>
          </w:p>
        </w:tc>
        <w:tc>
          <w:tcPr>
            <w:tcW w:w="1516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参与率</w:t>
            </w:r>
          </w:p>
        </w:tc>
        <w:tc>
          <w:tcPr>
            <w:tcW w:w="70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15</w:t>
            </w:r>
          </w:p>
        </w:tc>
        <w:tc>
          <w:tcPr>
            <w:tcW w:w="565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kern w:val="0"/>
                <w:sz w:val="21"/>
                <w:szCs w:val="21"/>
              </w:rPr>
              <w:t>全体学生参与生活垃圾分类10次以上（含）的学生应达60%以上（仅限可回收物和有害垃圾投放）。</w:t>
            </w:r>
            <w:r>
              <w:rPr>
                <w:rFonts w:ascii="宋体" w:hAnsi="宋体" w:eastAsia="宋体"/>
                <w:color w:val="auto"/>
                <w:sz w:val="21"/>
                <w:szCs w:val="21"/>
              </w:rPr>
              <w:t>★</w:t>
            </w:r>
          </w:p>
        </w:tc>
        <w:tc>
          <w:tcPr>
            <w:tcW w:w="426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kern w:val="0"/>
                <w:sz w:val="21"/>
                <w:szCs w:val="21"/>
              </w:rPr>
              <w:t>未达到要求不得分。（需有详细台账证明）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709" w:type="dxa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6</w:t>
            </w:r>
          </w:p>
        </w:tc>
        <w:tc>
          <w:tcPr>
            <w:tcW w:w="1144" w:type="dxa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源头减量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（15分）</w:t>
            </w:r>
          </w:p>
        </w:tc>
        <w:tc>
          <w:tcPr>
            <w:tcW w:w="151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绿色就餐</w:t>
            </w:r>
          </w:p>
        </w:tc>
        <w:tc>
          <w:tcPr>
            <w:tcW w:w="70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10</w:t>
            </w:r>
          </w:p>
        </w:tc>
        <w:tc>
          <w:tcPr>
            <w:tcW w:w="565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开展光盘行动，在学校食堂等地张贴光盘行动海报、图贴、标语等宣传物料；有食堂的学校安排督导员指导就餐人员做好垃圾分类；与餐厨垃圾收运企业签约，做好餐厨垃圾收运台账；不使用一次性杯具和餐具。</w:t>
            </w:r>
            <w:r>
              <w:rPr>
                <w:rFonts w:ascii="宋体" w:hAnsi="宋体" w:eastAsia="宋体"/>
                <w:color w:val="auto"/>
                <w:sz w:val="21"/>
                <w:szCs w:val="21"/>
              </w:rPr>
              <w:t>★</w:t>
            </w:r>
          </w:p>
        </w:tc>
        <w:tc>
          <w:tcPr>
            <w:tcW w:w="426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根据光盘行动宣传氛围酌情扣1～2分，有食堂的学校未安排值日人员扣2分，未与餐厨垃圾收运企业签约扣2分，没有餐厨垃圾收运台账扣2分，台账不完整酌情扣分，使用一次性杯具或者餐具扣2分。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709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144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51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低碳办公</w:t>
            </w:r>
          </w:p>
        </w:tc>
        <w:tc>
          <w:tcPr>
            <w:tcW w:w="70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5</w:t>
            </w:r>
          </w:p>
        </w:tc>
        <w:tc>
          <w:tcPr>
            <w:tcW w:w="565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纸张双面使用，不用或少用一次性签字笔，优先使用可重复使用的办公用品。</w:t>
            </w:r>
          </w:p>
        </w:tc>
        <w:tc>
          <w:tcPr>
            <w:tcW w:w="426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根据佐证资料酌情扣分。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7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特色加分（10）</w:t>
            </w:r>
          </w:p>
        </w:tc>
        <w:tc>
          <w:tcPr>
            <w:tcW w:w="151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特色条件</w:t>
            </w:r>
          </w:p>
        </w:tc>
        <w:tc>
          <w:tcPr>
            <w:tcW w:w="70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10</w:t>
            </w:r>
          </w:p>
        </w:tc>
        <w:tc>
          <w:tcPr>
            <w:tcW w:w="565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长期开展垃圾分类为主题等相关环保活动，建立学校垃圾分类大数据平台，平台运行6个月以上。</w:t>
            </w:r>
          </w:p>
        </w:tc>
        <w:tc>
          <w:tcPr>
            <w:tcW w:w="426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根据佐证资料酌情扣分。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3992" w:type="dxa"/>
            <w:gridSpan w:val="6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1.</w:t>
            </w:r>
            <w:r>
              <w:rPr>
                <w:rFonts w:hAnsi="仿宋_GB2312" w:cs="仿宋_GB2312"/>
                <w:color w:val="auto"/>
                <w:sz w:val="21"/>
                <w:szCs w:val="21"/>
              </w:rPr>
              <w:t>★项为必达指标，必达指标不具备，将取消</w:t>
            </w: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申报资格。</w:t>
            </w:r>
            <w:r>
              <w:rPr>
                <w:rFonts w:hAnsi="仿宋_GB2312" w:cs="仿宋_GB2312"/>
                <w:color w:val="auto"/>
                <w:sz w:val="21"/>
                <w:szCs w:val="21"/>
              </w:rPr>
              <w:t>2</w:t>
            </w: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Ansi="仿宋_GB2312" w:cs="仿宋_GB2312"/>
                <w:color w:val="auto"/>
                <w:sz w:val="21"/>
                <w:szCs w:val="21"/>
              </w:rPr>
              <w:t>含特色加分，总分须达到</w:t>
            </w: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95</w:t>
            </w:r>
            <w:r>
              <w:rPr>
                <w:rFonts w:hAnsi="仿宋_GB2312" w:cs="仿宋_GB2312"/>
                <w:color w:val="auto"/>
                <w:sz w:val="21"/>
                <w:szCs w:val="21"/>
              </w:rPr>
              <w:t>分以上，方可参与申报</w:t>
            </w:r>
            <w:r>
              <w:rPr>
                <w:rFonts w:hint="eastAsia" w:hAnsi="仿宋_GB2312" w:cs="仿宋_GB2312"/>
                <w:color w:val="auto"/>
                <w:sz w:val="21"/>
                <w:szCs w:val="21"/>
              </w:rPr>
              <w:t>。</w:t>
            </w:r>
          </w:p>
        </w:tc>
      </w:tr>
    </w:tbl>
    <w:p>
      <w:pPr>
        <w:snapToGrid w:val="0"/>
        <w:spacing w:line="560" w:lineRule="exact"/>
        <w:rPr>
          <w:color w:val="auto"/>
        </w:rPr>
      </w:pPr>
    </w:p>
    <w:sectPr>
      <w:footerReference r:id="rId3" w:type="default"/>
      <w:pgSz w:w="16838" w:h="11906" w:orient="landscape"/>
      <w:pgMar w:top="1531" w:right="1440" w:bottom="1531" w:left="1440" w:header="851" w:footer="992" w:gutter="0"/>
      <w:pgNumType w:fmt="numberInDash"/>
      <w:cols w:space="0" w:num="1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MngLUbgBAABk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VerticalSpacing w:val="22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25"/>
    <w:rsid w:val="00042505"/>
    <w:rsid w:val="00051E4E"/>
    <w:rsid w:val="001862AF"/>
    <w:rsid w:val="00192625"/>
    <w:rsid w:val="001C0646"/>
    <w:rsid w:val="00234827"/>
    <w:rsid w:val="00240927"/>
    <w:rsid w:val="00254742"/>
    <w:rsid w:val="002B2200"/>
    <w:rsid w:val="002C32C3"/>
    <w:rsid w:val="002F33FF"/>
    <w:rsid w:val="003C2076"/>
    <w:rsid w:val="003F6ECF"/>
    <w:rsid w:val="00424473"/>
    <w:rsid w:val="004A6C20"/>
    <w:rsid w:val="004C1D53"/>
    <w:rsid w:val="00525DB1"/>
    <w:rsid w:val="005F5321"/>
    <w:rsid w:val="00601846"/>
    <w:rsid w:val="00685D2A"/>
    <w:rsid w:val="006B4008"/>
    <w:rsid w:val="006B5965"/>
    <w:rsid w:val="00743923"/>
    <w:rsid w:val="00783F71"/>
    <w:rsid w:val="007B3847"/>
    <w:rsid w:val="00877768"/>
    <w:rsid w:val="009376AA"/>
    <w:rsid w:val="009A3155"/>
    <w:rsid w:val="009C50DE"/>
    <w:rsid w:val="009C668D"/>
    <w:rsid w:val="00A24C38"/>
    <w:rsid w:val="00AD30CA"/>
    <w:rsid w:val="00B057E3"/>
    <w:rsid w:val="00B92254"/>
    <w:rsid w:val="00BF6649"/>
    <w:rsid w:val="00BF7629"/>
    <w:rsid w:val="00C44C60"/>
    <w:rsid w:val="00D21B56"/>
    <w:rsid w:val="00D91008"/>
    <w:rsid w:val="00E2232E"/>
    <w:rsid w:val="00E50EF9"/>
    <w:rsid w:val="00EB609A"/>
    <w:rsid w:val="00EC2FA0"/>
    <w:rsid w:val="00FF27FB"/>
    <w:rsid w:val="02B04D9F"/>
    <w:rsid w:val="074A61B3"/>
    <w:rsid w:val="0E6F64C4"/>
    <w:rsid w:val="104A2E41"/>
    <w:rsid w:val="11F90EF7"/>
    <w:rsid w:val="134A5315"/>
    <w:rsid w:val="1DA9084A"/>
    <w:rsid w:val="1F1E14E2"/>
    <w:rsid w:val="1FA1113B"/>
    <w:rsid w:val="27D43A2E"/>
    <w:rsid w:val="2A0E7ED1"/>
    <w:rsid w:val="2CDE1560"/>
    <w:rsid w:val="2EFE7C63"/>
    <w:rsid w:val="3048038F"/>
    <w:rsid w:val="304A77BA"/>
    <w:rsid w:val="36DD64CE"/>
    <w:rsid w:val="3A6A58F5"/>
    <w:rsid w:val="3FA02A69"/>
    <w:rsid w:val="3FC70E9B"/>
    <w:rsid w:val="47906D45"/>
    <w:rsid w:val="4B067E9C"/>
    <w:rsid w:val="4DC364AD"/>
    <w:rsid w:val="4FE10A43"/>
    <w:rsid w:val="51125E27"/>
    <w:rsid w:val="52577CDF"/>
    <w:rsid w:val="52AF088D"/>
    <w:rsid w:val="5705085F"/>
    <w:rsid w:val="57F003C8"/>
    <w:rsid w:val="5AE61323"/>
    <w:rsid w:val="5CC946A0"/>
    <w:rsid w:val="60890709"/>
    <w:rsid w:val="6100310F"/>
    <w:rsid w:val="62065463"/>
    <w:rsid w:val="62EA7434"/>
    <w:rsid w:val="63695989"/>
    <w:rsid w:val="64E964E1"/>
    <w:rsid w:val="658E3F08"/>
    <w:rsid w:val="68B1399F"/>
    <w:rsid w:val="6A855975"/>
    <w:rsid w:val="6AD2083A"/>
    <w:rsid w:val="6BFB34CA"/>
    <w:rsid w:val="6D3400B7"/>
    <w:rsid w:val="6F1328F1"/>
    <w:rsid w:val="703019FA"/>
    <w:rsid w:val="724A7924"/>
    <w:rsid w:val="75F51FDF"/>
    <w:rsid w:val="7C7D465B"/>
    <w:rsid w:val="7D4D35A8"/>
    <w:rsid w:val="7E2B36AF"/>
    <w:rsid w:val="7F212B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批注框文本 字符"/>
    <w:basedOn w:val="7"/>
    <w:link w:val="2"/>
    <w:semiHidden/>
    <w:qFormat/>
    <w:uiPriority w:val="99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1591</Words>
  <Characters>9072</Characters>
  <Lines>75</Lines>
  <Paragraphs>21</Paragraphs>
  <TotalTime>26</TotalTime>
  <ScaleCrop>false</ScaleCrop>
  <LinksUpToDate>false</LinksUpToDate>
  <CharactersWithSpaces>10642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2019-05-06T09:19:00Z</dcterms:created>
  <dc:creator>梁卫坤</dc:creator>
  <cp:lastModifiedBy>Mw</cp:lastModifiedBy>
  <cp:lastPrinted>2019-05-06T06:29:00Z</cp:lastPrinted>
  <dcterms:modified xsi:type="dcterms:W3CDTF">2019-08-23T08:49:21Z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