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Toc427764751"/>
      <w:bookmarkStart w:id="1" w:name="_Toc439060029"/>
      <w:bookmarkStart w:id="2" w:name="_Toc439060122"/>
      <w:bookmarkStart w:id="3" w:name="_Toc440067651"/>
      <w:bookmarkStart w:id="4" w:name="_Toc440550302"/>
      <w:bookmarkStart w:id="5" w:name="_Toc445382052"/>
      <w:bookmarkStart w:id="6" w:name="_Toc440957382"/>
      <w:bookmarkStart w:id="7" w:name="_Toc442279478"/>
      <w:bookmarkStart w:id="8" w:name="_Toc450692659"/>
      <w:bookmarkStart w:id="9" w:name="_Toc477816024"/>
      <w:bookmarkStart w:id="10" w:name="_Toc480540005"/>
      <w:bookmarkStart w:id="11" w:name="_Toc483659804"/>
      <w:bookmarkStart w:id="12" w:name="_Toc484443945"/>
      <w:bookmarkStart w:id="13" w:name="_Toc484520039"/>
      <w:bookmarkStart w:id="14" w:name="_Toc485644747"/>
      <w:bookmarkStart w:id="15" w:name="_Toc485644925"/>
      <w:bookmarkStart w:id="16" w:name="_Toc486247993"/>
      <w:bookmarkStart w:id="17" w:name="_Toc486248313"/>
      <w:bookmarkStart w:id="18" w:name="_Toc486283398"/>
      <w:bookmarkStart w:id="19" w:name="_Toc488307135"/>
      <w:bookmarkStart w:id="20" w:name="_Toc493138632"/>
      <w:bookmarkStart w:id="21" w:name="_Toc493151374"/>
      <w:bookmarkStart w:id="22" w:name="_Toc495565541"/>
      <w:bookmarkStart w:id="23" w:name="_Toc499023154"/>
      <w:bookmarkStart w:id="24" w:name="_Toc508782824"/>
      <w:r>
        <w:rPr>
          <w:b/>
          <w:sz w:val="28"/>
          <w:szCs w:val="28"/>
        </w:rPr>
        <w:t>UDC</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jc w:val="center"/>
        <w:rPr>
          <w:b/>
          <w:sz w:val="32"/>
          <w:szCs w:val="32"/>
        </w:rPr>
      </w:pPr>
      <w:r>
        <w:rPr>
          <w:rFonts w:hint="eastAsia" w:hAnsi="宋体"/>
          <w:b/>
          <w:sz w:val="32"/>
          <w:szCs w:val="32"/>
        </w:rPr>
        <w:t xml:space="preserve">     中华人民共和国行业标准           </w:t>
      </w:r>
      <w:r>
        <w:drawing>
          <wp:inline distT="0" distB="0" distL="0" distR="0">
            <wp:extent cx="1410335" cy="679450"/>
            <wp:effectExtent l="0" t="0" r="0" b="635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18413" cy="683215"/>
                    </a:xfrm>
                    <a:prstGeom prst="rect">
                      <a:avLst/>
                    </a:prstGeom>
                    <a:noFill/>
                    <a:ln>
                      <a:noFill/>
                    </a:ln>
                  </pic:spPr>
                </pic:pic>
              </a:graphicData>
            </a:graphic>
          </wp:inline>
        </w:drawing>
      </w:r>
    </w:p>
    <w:p>
      <w:pPr>
        <w:spacing w:line="360" w:lineRule="auto"/>
        <w:ind w:firstLine="141" w:firstLineChars="50"/>
        <w:rPr>
          <w:rFonts w:hint="default" w:ascii="Times New Roman" w:hAnsi="Times New Roman" w:eastAsia="黑体" w:cs="Times New Roman"/>
          <w:sz w:val="30"/>
          <w:szCs w:val="30"/>
        </w:rPr>
      </w:pPr>
      <w:r>
        <w:rPr>
          <w:b/>
          <w:sz w:val="28"/>
          <w:szCs w:val="28"/>
        </w:rPr>
        <w:t xml:space="preserve">P                                      </w:t>
      </w:r>
      <w:r>
        <w:rPr>
          <w:rFonts w:hint="eastAsia"/>
          <w:b/>
          <w:sz w:val="28"/>
          <w:szCs w:val="28"/>
          <w:lang w:val="en-US" w:eastAsia="zh-CN"/>
        </w:rPr>
        <w:t xml:space="preserve">       </w:t>
      </w:r>
      <w:r>
        <w:rPr>
          <w:b/>
          <w:sz w:val="28"/>
          <w:szCs w:val="28"/>
        </w:rPr>
        <w:t xml:space="preserve"> </w:t>
      </w:r>
      <w:r>
        <w:rPr>
          <w:rFonts w:hint="eastAsia"/>
          <w:b/>
          <w:sz w:val="28"/>
          <w:szCs w:val="28"/>
          <w:lang w:val="en-US" w:eastAsia="zh-CN"/>
        </w:rPr>
        <w:t xml:space="preserve">   </w:t>
      </w:r>
      <w:r>
        <w:rPr>
          <w:rFonts w:hint="default" w:ascii="Times New Roman" w:hAnsi="Times New Roman" w:eastAsia="黑体" w:cs="Times New Roman"/>
          <w:sz w:val="30"/>
          <w:szCs w:val="30"/>
        </w:rPr>
        <w:t>JGJ/T×××－20××</w:t>
      </w:r>
    </w:p>
    <w:p>
      <w:pPr>
        <w:spacing w:line="360" w:lineRule="auto"/>
        <w:ind w:firstLine="6600" w:firstLineChars="2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pict>
          <v:line id="Line 3" o:spid="_x0000_s1028" o:spt="20" style="position:absolute;left:0pt;margin-left:2.3pt;margin-top:23.55pt;height:0pt;width:481.1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a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">
            <v:path arrowok="t"/>
            <v:fill focussize="0,0"/>
            <v:stroke/>
            <v:imagedata o:title=""/>
            <o:lock v:ext="edit"/>
          </v:line>
        </w:pict>
      </w:r>
      <w:r>
        <w:rPr>
          <w:rFonts w:hint="default" w:ascii="Times New Roman" w:hAnsi="Times New Roman" w:eastAsia="黑体" w:cs="Times New Roman"/>
          <w:sz w:val="30"/>
          <w:szCs w:val="30"/>
        </w:rPr>
        <w:t>备案号J××× ×－20××</w:t>
      </w:r>
    </w:p>
    <w:p>
      <w:pPr>
        <w:rPr>
          <w:b/>
          <w:sz w:val="28"/>
          <w:szCs w:val="28"/>
        </w:rPr>
      </w:pPr>
    </w:p>
    <w:p>
      <w:pPr>
        <w:spacing w:after="156" w:afterLines="50" w:line="360" w:lineRule="auto"/>
        <w:jc w:val="center"/>
        <w:rPr>
          <w:rFonts w:eastAsia="黑体"/>
          <w:b/>
          <w:sz w:val="44"/>
        </w:rPr>
      </w:pPr>
      <w:bookmarkStart w:id="25" w:name="_Toc486247994"/>
      <w:bookmarkStart w:id="26" w:name="_Toc486248314"/>
      <w:bookmarkStart w:id="27" w:name="_Toc486283399"/>
      <w:bookmarkStart w:id="28" w:name="_Toc488307136"/>
      <w:bookmarkStart w:id="29" w:name="_Toc493138633"/>
      <w:bookmarkStart w:id="30" w:name="_Toc493151375"/>
      <w:bookmarkStart w:id="31" w:name="_Toc495565542"/>
      <w:bookmarkStart w:id="32" w:name="_Toc499023155"/>
      <w:bookmarkStart w:id="33" w:name="_Toc508782825"/>
      <w:r>
        <w:rPr>
          <w:rFonts w:hint="eastAsia" w:eastAsia="黑体"/>
          <w:b/>
          <w:sz w:val="44"/>
        </w:rPr>
        <w:t>房屋完损等级评定标准</w:t>
      </w:r>
      <w:bookmarkEnd w:id="25"/>
      <w:bookmarkEnd w:id="26"/>
      <w:bookmarkEnd w:id="27"/>
      <w:bookmarkEnd w:id="28"/>
      <w:bookmarkEnd w:id="29"/>
      <w:bookmarkEnd w:id="30"/>
      <w:bookmarkEnd w:id="31"/>
      <w:bookmarkEnd w:id="32"/>
      <w:bookmarkEnd w:id="33"/>
    </w:p>
    <w:p>
      <w:pPr>
        <w:spacing w:line="360" w:lineRule="auto"/>
        <w:jc w:val="center"/>
        <w:rPr>
          <w:rFonts w:eastAsiaTheme="minorEastAsia"/>
          <w:sz w:val="36"/>
          <w:szCs w:val="36"/>
        </w:rPr>
      </w:pPr>
      <w:r>
        <w:rPr>
          <w:rFonts w:eastAsiaTheme="minorEastAsia"/>
          <w:sz w:val="36"/>
          <w:szCs w:val="36"/>
        </w:rPr>
        <w:t>Standard for damage grade evaluation of buildings</w:t>
      </w:r>
    </w:p>
    <w:p>
      <w:pPr>
        <w:jc w:val="center"/>
        <w:rPr>
          <w:sz w:val="28"/>
          <w:szCs w:val="28"/>
        </w:rPr>
      </w:pPr>
    </w:p>
    <w:p>
      <w:pPr>
        <w:jc w:val="center"/>
        <w:rPr>
          <w:sz w:val="28"/>
          <w:szCs w:val="28"/>
        </w:rPr>
      </w:pPr>
      <w:r>
        <w:rPr>
          <w:rFonts w:ascii="宋体" w:hAnsi="宋体"/>
          <w:w w:val="95"/>
          <w:sz w:val="36"/>
          <w:szCs w:val="36"/>
        </w:rPr>
        <w:t>（征求意见稿）</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bookmarkStart w:id="220" w:name="_GoBack"/>
      <w:bookmarkEnd w:id="220"/>
    </w:p>
    <w:p>
      <w:pPr>
        <w:spacing w:line="360" w:lineRule="auto"/>
        <w:rPr>
          <w:rFonts w:eastAsia="黑体"/>
          <w:sz w:val="30"/>
          <w:szCs w:val="30"/>
        </w:rPr>
      </w:pPr>
      <w:r>
        <w:rPr>
          <w:rFonts w:eastAsia="黑体"/>
          <w:sz w:val="30"/>
          <w:szCs w:val="30"/>
        </w:rPr>
        <w:t>20</w:t>
      </w:r>
      <w:r>
        <w:rPr>
          <w:rFonts w:ascii="宋体" w:hAnsi="宋体"/>
          <w:sz w:val="30"/>
          <w:szCs w:val="30"/>
        </w:rPr>
        <w:t>××</w:t>
      </w:r>
      <w:r>
        <w:rPr>
          <w:rFonts w:eastAsia="黑体"/>
          <w:sz w:val="30"/>
          <w:szCs w:val="30"/>
        </w:rPr>
        <w:t>-</w:t>
      </w:r>
      <w:r>
        <w:rPr>
          <w:rFonts w:ascii="宋体" w:hAnsi="宋体"/>
          <w:sz w:val="30"/>
          <w:szCs w:val="30"/>
        </w:rPr>
        <w:t>××</w:t>
      </w:r>
      <w:r>
        <w:rPr>
          <w:rFonts w:eastAsia="黑体"/>
          <w:sz w:val="30"/>
          <w:szCs w:val="30"/>
        </w:rPr>
        <w:t>-</w:t>
      </w:r>
      <w:r>
        <w:rPr>
          <w:rFonts w:ascii="宋体" w:hAnsi="宋体"/>
          <w:sz w:val="30"/>
          <w:szCs w:val="30"/>
        </w:rPr>
        <w:t>××</w:t>
      </w:r>
      <w:r>
        <w:rPr>
          <w:rFonts w:eastAsia="黑体"/>
          <w:sz w:val="30"/>
          <w:szCs w:val="30"/>
        </w:rPr>
        <w:t>发布                         20</w:t>
      </w:r>
      <w:r>
        <w:rPr>
          <w:rFonts w:ascii="宋体" w:hAnsi="宋体"/>
          <w:sz w:val="30"/>
          <w:szCs w:val="30"/>
        </w:rPr>
        <w:t>××</w:t>
      </w:r>
      <w:r>
        <w:rPr>
          <w:rFonts w:eastAsia="黑体"/>
          <w:sz w:val="30"/>
          <w:szCs w:val="30"/>
        </w:rPr>
        <w:t>-</w:t>
      </w:r>
      <w:r>
        <w:rPr>
          <w:rFonts w:ascii="宋体" w:hAnsi="宋体"/>
          <w:sz w:val="30"/>
          <w:szCs w:val="30"/>
        </w:rPr>
        <w:t>××</w:t>
      </w:r>
      <w:r>
        <w:rPr>
          <w:rFonts w:eastAsia="黑体"/>
          <w:sz w:val="30"/>
          <w:szCs w:val="30"/>
        </w:rPr>
        <w:t>-</w:t>
      </w:r>
      <w:r>
        <w:rPr>
          <w:rFonts w:ascii="宋体" w:hAnsi="宋体"/>
          <w:sz w:val="30"/>
          <w:szCs w:val="30"/>
        </w:rPr>
        <w:t>××</w:t>
      </w:r>
      <w:r>
        <w:rPr>
          <w:rFonts w:eastAsia="黑体"/>
          <w:sz w:val="30"/>
          <w:szCs w:val="30"/>
        </w:rPr>
        <w:t>实施</w:t>
      </w:r>
    </w:p>
    <w:p>
      <w:pPr>
        <w:jc w:val="center"/>
        <w:rPr>
          <w:rFonts w:eastAsia="黑体"/>
          <w:sz w:val="30"/>
          <w:szCs w:val="30"/>
        </w:rPr>
        <w:sectPr>
          <w:headerReference r:id="rId4" w:type="first"/>
          <w:headerReference r:id="rId3" w:type="default"/>
          <w:footerReference r:id="rId5" w:type="default"/>
          <w:footerReference r:id="rId6" w:type="even"/>
          <w:pgSz w:w="11906" w:h="16838"/>
          <w:pgMar w:top="1440" w:right="1134" w:bottom="1440" w:left="1134" w:header="851" w:footer="992" w:gutter="0"/>
          <w:pgNumType w:fmt="upperRoman"/>
          <w:cols w:space="425" w:num="1"/>
          <w:titlePg/>
          <w:docGrid w:type="lines" w:linePitch="312" w:charSpace="0"/>
        </w:sectPr>
      </w:pPr>
      <w:r>
        <w:pict>
          <v:line id="_x0000_s1031" o:spid="_x0000_s1031" o:spt="20" style="position:absolute;left:0pt;margin-left:-2.4pt;margin-top:1pt;height:0pt;width:485.85pt;z-index:251659264;mso-width-relative:page;mso-height-relative:page;" coordsize="21600,21600">
            <v:path arrowok="t"/>
            <v:fill focussize="0,0"/>
            <v:stroke/>
            <v:imagedata o:title=""/>
            <o:lock v:ext="edit"/>
          </v:line>
        </w:pict>
      </w:r>
      <w:r>
        <w:rPr>
          <w:rFonts w:eastAsia="黑体"/>
          <w:sz w:val="36"/>
          <w:szCs w:val="36"/>
        </w:rPr>
        <w:t>中华人民共和国住房和城乡建设部  发布</w:t>
      </w:r>
    </w:p>
    <w:p/>
    <w:p>
      <w:pPr>
        <w:spacing w:line="360" w:lineRule="auto"/>
        <w:jc w:val="center"/>
        <w:rPr>
          <w:rFonts w:eastAsia="黑体"/>
          <w:sz w:val="36"/>
        </w:rPr>
      </w:pPr>
      <w:r>
        <w:rPr>
          <w:rFonts w:eastAsia="黑体"/>
          <w:sz w:val="36"/>
        </w:rPr>
        <w:t>中华人民共和国行业标准</w:t>
      </w:r>
    </w:p>
    <w:p>
      <w:pPr>
        <w:spacing w:line="360" w:lineRule="auto"/>
        <w:rPr>
          <w:rFonts w:eastAsia="黑体"/>
          <w:sz w:val="28"/>
        </w:rPr>
      </w:pPr>
    </w:p>
    <w:p>
      <w:pPr>
        <w:spacing w:line="360" w:lineRule="auto"/>
        <w:rPr>
          <w:rFonts w:eastAsia="黑体"/>
          <w:sz w:val="28"/>
        </w:rPr>
      </w:pPr>
    </w:p>
    <w:p>
      <w:pPr>
        <w:spacing w:line="600" w:lineRule="exact"/>
        <w:ind w:left="-170" w:leftChars="-81" w:right="-128" w:rightChars="-61"/>
        <w:jc w:val="center"/>
        <w:rPr>
          <w:rFonts w:eastAsia="黑体"/>
          <w:b/>
          <w:sz w:val="44"/>
          <w:szCs w:val="44"/>
        </w:rPr>
      </w:pPr>
      <w:r>
        <w:rPr>
          <w:rFonts w:hint="eastAsia" w:eastAsia="黑体"/>
          <w:b/>
          <w:sz w:val="44"/>
          <w:szCs w:val="44"/>
        </w:rPr>
        <w:t>房屋完损等级评定标准</w:t>
      </w:r>
    </w:p>
    <w:p>
      <w:pPr>
        <w:spacing w:line="360" w:lineRule="auto"/>
        <w:jc w:val="center"/>
        <w:rPr>
          <w:rFonts w:eastAsia="黑体"/>
          <w:sz w:val="36"/>
          <w:szCs w:val="36"/>
        </w:rPr>
      </w:pPr>
      <w:r>
        <w:rPr>
          <w:rFonts w:eastAsia="黑体"/>
          <w:sz w:val="36"/>
          <w:szCs w:val="36"/>
        </w:rPr>
        <w:t>Standard for damage grade evaluation of buildings</w:t>
      </w:r>
    </w:p>
    <w:p>
      <w:pPr>
        <w:jc w:val="center"/>
        <w:rPr>
          <w:rFonts w:eastAsia="黑体"/>
          <w:sz w:val="30"/>
          <w:szCs w:val="30"/>
        </w:rPr>
      </w:pPr>
      <w:r>
        <w:rPr>
          <w:rFonts w:hint="eastAsia" w:eastAsia="黑体"/>
          <w:sz w:val="30"/>
          <w:szCs w:val="30"/>
        </w:rPr>
        <w:t>JGJ</w:t>
      </w:r>
      <w:r>
        <w:rPr>
          <w:rFonts w:eastAsia="黑体"/>
          <w:sz w:val="30"/>
          <w:szCs w:val="30"/>
        </w:rPr>
        <w:t>/T××</w:t>
      </w:r>
      <w:r>
        <w:rPr>
          <w:rFonts w:hint="eastAsia" w:eastAsia="黑体"/>
          <w:sz w:val="30"/>
          <w:szCs w:val="30"/>
        </w:rPr>
        <w:t>-20</w:t>
      </w:r>
      <w:r>
        <w:rPr>
          <w:rFonts w:eastAsia="黑体"/>
          <w:sz w:val="30"/>
          <w:szCs w:val="30"/>
        </w:rPr>
        <w:t>××</w:t>
      </w:r>
    </w:p>
    <w:p>
      <w:pPr>
        <w:spacing w:line="360" w:lineRule="auto"/>
        <w:rPr>
          <w:rFonts w:eastAsia="仿宋_GB2312"/>
          <w:spacing w:val="60"/>
          <w:sz w:val="28"/>
        </w:rPr>
      </w:pPr>
    </w:p>
    <w:p>
      <w:pPr>
        <w:spacing w:line="360" w:lineRule="auto"/>
        <w:rPr>
          <w:rFonts w:eastAsia="仿宋_GB2312"/>
          <w:spacing w:val="60"/>
          <w:sz w:val="28"/>
        </w:rPr>
      </w:pPr>
    </w:p>
    <w:p>
      <w:pPr>
        <w:ind w:firstLine="1400" w:firstLineChars="500"/>
        <w:rPr>
          <w:sz w:val="28"/>
          <w:szCs w:val="28"/>
        </w:rPr>
      </w:pPr>
      <w:r>
        <w:rPr>
          <w:sz w:val="28"/>
          <w:szCs w:val="28"/>
        </w:rPr>
        <w:t>批准部门</w:t>
      </w:r>
      <w:r>
        <w:rPr>
          <w:rFonts w:hint="eastAsia"/>
          <w:sz w:val="28"/>
          <w:szCs w:val="28"/>
        </w:rPr>
        <w:t>：</w:t>
      </w:r>
      <w:r>
        <w:rPr>
          <w:sz w:val="28"/>
          <w:szCs w:val="28"/>
        </w:rPr>
        <w:t>中华人民共和国住房和城乡建设部</w:t>
      </w:r>
    </w:p>
    <w:p>
      <w:pPr>
        <w:ind w:firstLine="1400" w:firstLineChars="500"/>
        <w:rPr>
          <w:sz w:val="28"/>
          <w:szCs w:val="28"/>
        </w:rPr>
      </w:pPr>
      <w:r>
        <w:rPr>
          <w:sz w:val="28"/>
          <w:szCs w:val="28"/>
        </w:rPr>
        <w:t>施行日期</w:t>
      </w:r>
      <w:r>
        <w:rPr>
          <w:rFonts w:hint="eastAsia"/>
          <w:sz w:val="28"/>
          <w:szCs w:val="28"/>
        </w:rPr>
        <w:t>：</w:t>
      </w:r>
      <w:r>
        <w:rPr>
          <w:sz w:val="28"/>
          <w:szCs w:val="28"/>
        </w:rPr>
        <w:t>20××年  月  日</w:t>
      </w:r>
    </w:p>
    <w:p>
      <w:pPr>
        <w:spacing w:line="360" w:lineRule="auto"/>
        <w:rPr>
          <w:rFonts w:eastAsia="黑体"/>
          <w:spacing w:val="60"/>
          <w:sz w:val="28"/>
        </w:rPr>
      </w:pPr>
    </w:p>
    <w:p>
      <w:pPr>
        <w:spacing w:line="360" w:lineRule="auto"/>
        <w:rPr>
          <w:rFonts w:eastAsia="黑体"/>
          <w:spacing w:val="60"/>
          <w:sz w:val="28"/>
        </w:rPr>
      </w:pPr>
    </w:p>
    <w:p>
      <w:pPr>
        <w:spacing w:line="360" w:lineRule="auto"/>
        <w:rPr>
          <w:rFonts w:eastAsia="黑体"/>
          <w:spacing w:val="60"/>
          <w:sz w:val="28"/>
        </w:rPr>
      </w:pPr>
    </w:p>
    <w:p>
      <w:pPr>
        <w:spacing w:line="360" w:lineRule="auto"/>
        <w:rPr>
          <w:rFonts w:eastAsia="黑体"/>
          <w:spacing w:val="60"/>
          <w:sz w:val="28"/>
        </w:rPr>
      </w:pPr>
    </w:p>
    <w:p>
      <w:pPr>
        <w:spacing w:line="360" w:lineRule="auto"/>
        <w:rPr>
          <w:rFonts w:eastAsia="黑体"/>
          <w:spacing w:val="60"/>
          <w:sz w:val="28"/>
        </w:rPr>
      </w:pPr>
    </w:p>
    <w:p>
      <w:pPr>
        <w:spacing w:line="360" w:lineRule="auto"/>
        <w:rPr>
          <w:rFonts w:eastAsia="黑体"/>
          <w:spacing w:val="60"/>
          <w:sz w:val="28"/>
        </w:rPr>
      </w:pPr>
    </w:p>
    <w:p>
      <w:pPr>
        <w:spacing w:line="360" w:lineRule="auto"/>
        <w:rPr>
          <w:rFonts w:eastAsia="黑体"/>
          <w:spacing w:val="60"/>
          <w:sz w:val="28"/>
        </w:rPr>
      </w:pPr>
    </w:p>
    <w:p>
      <w:pPr>
        <w:spacing w:line="360" w:lineRule="auto"/>
        <w:rPr>
          <w:rFonts w:eastAsia="黑体"/>
          <w:spacing w:val="60"/>
          <w:sz w:val="28"/>
        </w:rPr>
      </w:pPr>
    </w:p>
    <w:p>
      <w:pPr>
        <w:spacing w:line="360" w:lineRule="auto"/>
        <w:jc w:val="center"/>
        <w:rPr>
          <w:rFonts w:eastAsia="仿宋_GB2312"/>
          <w:sz w:val="32"/>
          <w:szCs w:val="32"/>
        </w:rPr>
      </w:pPr>
      <w:r>
        <w:rPr>
          <w:rFonts w:eastAsia="仿宋_GB2312"/>
          <w:sz w:val="32"/>
          <w:szCs w:val="32"/>
        </w:rPr>
        <w:t>中国      出版社</w:t>
      </w:r>
    </w:p>
    <w:p>
      <w:pPr>
        <w:pStyle w:val="88"/>
        <w:rPr>
          <w:b w:val="0"/>
          <w:sz w:val="28"/>
        </w:rPr>
      </w:pPr>
      <w:r>
        <w:rPr>
          <w:b w:val="0"/>
          <w:sz w:val="28"/>
        </w:rPr>
        <w:t>202×  北  京</w:t>
      </w:r>
    </w:p>
    <w:p>
      <w:pPr>
        <w:pStyle w:val="88"/>
        <w:rPr>
          <w:b w:val="0"/>
          <w:sz w:val="28"/>
        </w:rPr>
      </w:pPr>
    </w:p>
    <w:p>
      <w:pPr>
        <w:pStyle w:val="88"/>
        <w:rPr>
          <w:b w:val="0"/>
          <w:sz w:val="28"/>
        </w:rPr>
      </w:pPr>
    </w:p>
    <w:p>
      <w:pPr>
        <w:spacing w:before="156" w:beforeLines="50" w:after="156" w:afterLines="50"/>
        <w:ind w:firstLine="602"/>
        <w:jc w:val="center"/>
        <w:rPr>
          <w:b/>
          <w:sz w:val="30"/>
          <w:szCs w:val="30"/>
        </w:rPr>
      </w:pPr>
      <w:r>
        <w:rPr>
          <w:rFonts w:hint="eastAsia"/>
          <w:b/>
          <w:sz w:val="30"/>
          <w:szCs w:val="30"/>
        </w:rPr>
        <w:t>目次</w:t>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"_Toc36906666" </w:instrText>
      </w:r>
      <w:r>
        <w:fldChar w:fldCharType="separate"/>
      </w:r>
      <w:r>
        <w:rPr>
          <w:rStyle w:val="41"/>
          <w:rFonts w:ascii="Times New Roman" w:hAnsi="Times New Roman"/>
          <w:b w:val="0"/>
          <w:color w:val="auto"/>
          <w:sz w:val="24"/>
          <w:szCs w:val="24"/>
          <w:u w:val="none"/>
          <w:lang w:val="zh-CN"/>
        </w:rPr>
        <w:t>1</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总则</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_Toc36906666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1</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"_Toc36906667" </w:instrText>
      </w:r>
      <w:r>
        <w:fldChar w:fldCharType="separate"/>
      </w:r>
      <w:r>
        <w:rPr>
          <w:rStyle w:val="41"/>
          <w:rFonts w:ascii="Times New Roman" w:hAnsi="Times New Roman"/>
          <w:b w:val="0"/>
          <w:color w:val="auto"/>
          <w:sz w:val="24"/>
          <w:szCs w:val="24"/>
          <w:u w:val="none"/>
          <w:lang w:val="zh-CN"/>
        </w:rPr>
        <w:t>2</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术语</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_Toc36906667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2</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"_Toc36906670" </w:instrText>
      </w:r>
      <w:r>
        <w:fldChar w:fldCharType="separate"/>
      </w:r>
      <w:r>
        <w:rPr>
          <w:rStyle w:val="41"/>
          <w:rFonts w:ascii="Times New Roman" w:hAnsi="Times New Roman"/>
          <w:b w:val="0"/>
          <w:color w:val="auto"/>
          <w:sz w:val="24"/>
          <w:szCs w:val="24"/>
          <w:u w:val="none"/>
          <w:lang w:val="zh-CN"/>
        </w:rPr>
        <w:t>3</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基本规定</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_Toc36906670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3</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"_Toc36906673" </w:instrText>
      </w:r>
      <w:r>
        <w:fldChar w:fldCharType="separate"/>
      </w:r>
      <w:r>
        <w:rPr>
          <w:rStyle w:val="41"/>
          <w:rFonts w:ascii="Times New Roman" w:hAnsi="Times New Roman"/>
          <w:b w:val="0"/>
          <w:color w:val="auto"/>
          <w:sz w:val="24"/>
          <w:szCs w:val="24"/>
          <w:u w:val="none"/>
          <w:lang w:val="zh-CN"/>
        </w:rPr>
        <w:t>4</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子项完损等级评定</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_Toc36906673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5</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0"/>
        <w:rPr>
          <w:rFonts w:ascii="Times New Roman" w:hAnsi="Times New Roman" w:cs="Times New Roman"/>
          <w:sz w:val="24"/>
          <w:szCs w:val="24"/>
        </w:rPr>
      </w:pPr>
      <w:r>
        <w:fldChar w:fldCharType="begin"/>
      </w:r>
      <w:r>
        <w:instrText xml:space="preserve"> HYPERLINK \l "_Toc36906674" </w:instrText>
      </w:r>
      <w:r>
        <w:fldChar w:fldCharType="separate"/>
      </w:r>
      <w:r>
        <w:rPr>
          <w:rStyle w:val="41"/>
          <w:rFonts w:ascii="Times New Roman" w:hAnsi="Times New Roman"/>
          <w:color w:val="auto"/>
          <w:sz w:val="24"/>
          <w:szCs w:val="24"/>
          <w:u w:val="none"/>
        </w:rPr>
        <w:t>4.1</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_Toc36906674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sz w:val="24"/>
          <w:szCs w:val="24"/>
        </w:rPr>
      </w:pPr>
      <w:r>
        <w:fldChar w:fldCharType="begin"/>
      </w:r>
      <w:r>
        <w:instrText xml:space="preserve"> HYPERLINK \l "_Toc36906674" </w:instrText>
      </w:r>
      <w:r>
        <w:fldChar w:fldCharType="separate"/>
      </w:r>
      <w:r>
        <w:rPr>
          <w:rStyle w:val="41"/>
          <w:rFonts w:ascii="Times New Roman" w:hAnsi="Times New Roman"/>
          <w:color w:val="auto"/>
          <w:sz w:val="24"/>
          <w:szCs w:val="24"/>
          <w:u w:val="none"/>
        </w:rPr>
        <w:t>4.2</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屋面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_Toc36906674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"_Toc36906675" </w:instrText>
      </w:r>
      <w:r>
        <w:fldChar w:fldCharType="separate"/>
      </w:r>
      <w:r>
        <w:rPr>
          <w:rStyle w:val="41"/>
          <w:rFonts w:ascii="Times New Roman" w:hAnsi="Times New Roman"/>
          <w:color w:val="auto"/>
          <w:sz w:val="24"/>
          <w:szCs w:val="24"/>
          <w:u w:val="none"/>
        </w:rPr>
        <w:t>4.3</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外立面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_Toc36906675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"_Toc36906676" </w:instrText>
      </w:r>
      <w:r>
        <w:fldChar w:fldCharType="separate"/>
      </w:r>
      <w:r>
        <w:rPr>
          <w:rStyle w:val="41"/>
          <w:rFonts w:ascii="Times New Roman" w:hAnsi="Times New Roman"/>
          <w:color w:val="auto"/>
          <w:sz w:val="24"/>
          <w:szCs w:val="24"/>
          <w:u w:val="none"/>
        </w:rPr>
        <w:t>4.4</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室内建筑装饰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_Toc36906676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"_Toc36906677" </w:instrText>
      </w:r>
      <w:r>
        <w:fldChar w:fldCharType="separate"/>
      </w:r>
      <w:r>
        <w:rPr>
          <w:rStyle w:val="41"/>
          <w:rFonts w:ascii="Times New Roman" w:hAnsi="Times New Roman"/>
          <w:color w:val="auto"/>
          <w:sz w:val="24"/>
          <w:szCs w:val="24"/>
          <w:u w:val="none"/>
        </w:rPr>
        <w:t>4.5</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门窗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_Toc36906677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"_Toc36906678" </w:instrText>
      </w:r>
      <w:r>
        <w:fldChar w:fldCharType="separate"/>
      </w:r>
      <w:r>
        <w:rPr>
          <w:rStyle w:val="41"/>
          <w:rFonts w:ascii="Times New Roman" w:hAnsi="Times New Roman"/>
          <w:color w:val="auto"/>
          <w:sz w:val="24"/>
          <w:szCs w:val="24"/>
          <w:u w:val="none"/>
        </w:rPr>
        <w:t>4.6</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其他非结构构件及建筑构造</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_Toc36906678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"_Toc36906679" </w:instrText>
      </w:r>
      <w:r>
        <w:fldChar w:fldCharType="separate"/>
      </w:r>
      <w:r>
        <w:rPr>
          <w:rStyle w:val="41"/>
          <w:rFonts w:ascii="Times New Roman" w:hAnsi="Times New Roman"/>
          <w:color w:val="auto"/>
          <w:sz w:val="24"/>
          <w:szCs w:val="24"/>
          <w:u w:val="none"/>
          <w:lang w:val="zh-CN"/>
        </w:rPr>
        <w:t>4.7</w:t>
      </w:r>
      <w:r>
        <w:rPr>
          <w:rFonts w:ascii="Times New Roman" w:hAnsi="Times New Roman" w:cs="Times New Roman" w:eastAsiaTheme="minorEastAsia"/>
          <w:sz w:val="24"/>
          <w:szCs w:val="24"/>
        </w:rPr>
        <w:tab/>
      </w:r>
      <w:r>
        <w:rPr>
          <w:rStyle w:val="41"/>
          <w:rFonts w:ascii="Times New Roman" w:hAnsi="Times New Roman"/>
          <w:color w:val="auto"/>
          <w:sz w:val="24"/>
          <w:szCs w:val="24"/>
          <w:u w:val="none"/>
          <w:lang w:val="zh-CN"/>
        </w:rPr>
        <w:t>地基基础</w:t>
      </w:r>
      <w:r>
        <w:rPr>
          <w:rFonts w:ascii="Times New Roman" w:hAnsi="Times New Roman" w:cs="Times New Roman"/>
          <w:sz w:val="24"/>
          <w:szCs w:val="24"/>
        </w:rPr>
        <w:tab/>
      </w:r>
      <w:r>
        <w:rPr>
          <w:rFonts w:ascii="Times New Roman" w:hAnsi="Times New Roman" w:cs="Times New Roman"/>
          <w:sz w:val="24"/>
          <w:szCs w:val="24"/>
        </w:rPr>
        <w:t>10</w:t>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"_Toc36906680" </w:instrText>
      </w:r>
      <w:r>
        <w:fldChar w:fldCharType="separate"/>
      </w:r>
      <w:r>
        <w:rPr>
          <w:rStyle w:val="41"/>
          <w:rFonts w:ascii="Times New Roman" w:hAnsi="Times New Roman"/>
          <w:color w:val="auto"/>
          <w:sz w:val="24"/>
          <w:szCs w:val="24"/>
          <w:u w:val="none"/>
          <w:lang w:val="zh-CN"/>
        </w:rPr>
        <w:t>4.8</w:t>
      </w:r>
      <w:r>
        <w:rPr>
          <w:rFonts w:ascii="Times New Roman" w:hAnsi="Times New Roman" w:cs="Times New Roman" w:eastAsiaTheme="minorEastAsia"/>
          <w:sz w:val="24"/>
          <w:szCs w:val="24"/>
        </w:rPr>
        <w:tab/>
      </w:r>
      <w:r>
        <w:rPr>
          <w:rStyle w:val="41"/>
          <w:rFonts w:ascii="Times New Roman" w:hAnsi="Times New Roman"/>
          <w:color w:val="auto"/>
          <w:sz w:val="24"/>
          <w:szCs w:val="24"/>
          <w:u w:val="none"/>
          <w:lang w:val="zh-CN"/>
        </w:rPr>
        <w:t>上部结构</w:t>
      </w:r>
      <w:r>
        <w:rPr>
          <w:rFonts w:ascii="Times New Roman" w:hAnsi="Times New Roman" w:cs="Times New Roman"/>
          <w:sz w:val="24"/>
          <w:szCs w:val="24"/>
        </w:rPr>
        <w:tab/>
      </w:r>
      <w:r>
        <w:rPr>
          <w:rFonts w:ascii="Times New Roman" w:hAnsi="Times New Roman" w:cs="Times New Roman"/>
          <w:sz w:val="24"/>
          <w:szCs w:val="24"/>
        </w:rPr>
        <w:t>12</w:t>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"_Toc36906681" </w:instrText>
      </w:r>
      <w:r>
        <w:fldChar w:fldCharType="separate"/>
      </w:r>
      <w:r>
        <w:rPr>
          <w:rStyle w:val="41"/>
          <w:rFonts w:ascii="Times New Roman" w:hAnsi="Times New Roman"/>
          <w:color w:val="auto"/>
          <w:sz w:val="24"/>
          <w:szCs w:val="24"/>
          <w:u w:val="none"/>
          <w:lang w:val="zh-CN"/>
        </w:rPr>
        <w:t>4.9</w:t>
      </w:r>
      <w:r>
        <w:rPr>
          <w:rFonts w:ascii="Times New Roman" w:hAnsi="Times New Roman" w:cs="Times New Roman" w:eastAsiaTheme="minorEastAsia"/>
          <w:sz w:val="24"/>
          <w:szCs w:val="24"/>
        </w:rPr>
        <w:tab/>
      </w:r>
      <w:r>
        <w:rPr>
          <w:rStyle w:val="41"/>
          <w:rFonts w:ascii="Times New Roman" w:hAnsi="Times New Roman"/>
          <w:color w:val="auto"/>
          <w:sz w:val="24"/>
          <w:szCs w:val="24"/>
          <w:u w:val="none"/>
          <w:lang w:val="zh-CN"/>
        </w:rPr>
        <w:t>给排水设施设备</w:t>
      </w:r>
      <w:r>
        <w:rPr>
          <w:rFonts w:ascii="Times New Roman" w:hAnsi="Times New Roman" w:cs="Times New Roman"/>
          <w:sz w:val="24"/>
          <w:szCs w:val="24"/>
        </w:rPr>
        <w:tab/>
      </w:r>
      <w:r>
        <w:rPr>
          <w:rFonts w:ascii="Times New Roman" w:hAnsi="Times New Roman" w:cs="Times New Roman"/>
          <w:sz w:val="24"/>
          <w:szCs w:val="24"/>
        </w:rPr>
        <w:t>15</w:t>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"_Toc36906682" </w:instrText>
      </w:r>
      <w:r>
        <w:fldChar w:fldCharType="separate"/>
      </w:r>
      <w:r>
        <w:rPr>
          <w:rStyle w:val="41"/>
          <w:rFonts w:ascii="Times New Roman" w:hAnsi="Times New Roman"/>
          <w:color w:val="auto"/>
          <w:sz w:val="24"/>
          <w:szCs w:val="24"/>
          <w:u w:val="none"/>
          <w:lang w:val="zh-CN"/>
        </w:rPr>
        <w:t>4.10</w:t>
      </w:r>
      <w:r>
        <w:rPr>
          <w:rFonts w:ascii="Times New Roman" w:hAnsi="Times New Roman" w:cs="Times New Roman" w:eastAsiaTheme="minorEastAsia"/>
          <w:sz w:val="24"/>
          <w:szCs w:val="24"/>
        </w:rPr>
        <w:tab/>
      </w:r>
      <w:r>
        <w:rPr>
          <w:rStyle w:val="41"/>
          <w:rFonts w:ascii="Times New Roman" w:hAnsi="Times New Roman"/>
          <w:color w:val="auto"/>
          <w:sz w:val="24"/>
          <w:szCs w:val="24"/>
          <w:u w:val="none"/>
          <w:lang w:val="zh-CN"/>
        </w:rPr>
        <w:t>电气设施设备</w:t>
      </w:r>
      <w:r>
        <w:rPr>
          <w:rFonts w:ascii="Times New Roman" w:hAnsi="Times New Roman" w:cs="Times New Roman"/>
          <w:sz w:val="24"/>
          <w:szCs w:val="24"/>
        </w:rPr>
        <w:tab/>
      </w:r>
      <w:r>
        <w:rPr>
          <w:rFonts w:ascii="Times New Roman" w:hAnsi="Times New Roman" w:cs="Times New Roman"/>
          <w:sz w:val="24"/>
          <w:szCs w:val="24"/>
        </w:rPr>
        <w:t>15</w:t>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"_Toc36906683" </w:instrText>
      </w:r>
      <w:r>
        <w:fldChar w:fldCharType="separate"/>
      </w:r>
      <w:r>
        <w:rPr>
          <w:rStyle w:val="41"/>
          <w:rFonts w:ascii="Times New Roman" w:hAnsi="Times New Roman"/>
          <w:color w:val="auto"/>
          <w:sz w:val="24"/>
          <w:szCs w:val="24"/>
          <w:u w:val="none"/>
          <w:lang w:val="zh-CN"/>
        </w:rPr>
        <w:t>4.11</w:t>
      </w:r>
      <w:r>
        <w:rPr>
          <w:rFonts w:ascii="Times New Roman" w:hAnsi="Times New Roman" w:cs="Times New Roman" w:eastAsiaTheme="minorEastAsia"/>
          <w:sz w:val="24"/>
          <w:szCs w:val="24"/>
        </w:rPr>
        <w:tab/>
      </w:r>
      <w:r>
        <w:rPr>
          <w:rStyle w:val="41"/>
          <w:rFonts w:ascii="Times New Roman" w:hAnsi="Times New Roman"/>
          <w:color w:val="auto"/>
          <w:sz w:val="24"/>
          <w:szCs w:val="24"/>
          <w:u w:val="none"/>
          <w:lang w:val="zh-CN"/>
        </w:rPr>
        <w:t>暖通设施设备</w:t>
      </w:r>
      <w:r>
        <w:rPr>
          <w:rFonts w:ascii="Times New Roman" w:hAnsi="Times New Roman" w:cs="Times New Roman"/>
          <w:sz w:val="24"/>
          <w:szCs w:val="24"/>
        </w:rPr>
        <w:tab/>
      </w:r>
      <w:r>
        <w:rPr>
          <w:rFonts w:ascii="Times New Roman" w:hAnsi="Times New Roman" w:cs="Times New Roman"/>
          <w:sz w:val="24"/>
          <w:szCs w:val="24"/>
        </w:rPr>
        <w:t>16</w:t>
      </w:r>
      <w:r>
        <w:rPr>
          <w:rFonts w:ascii="Times New Roman" w:hAnsi="Times New Roman" w:cs="Times New Roman"/>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"_Toc36906684" </w:instrText>
      </w:r>
      <w:r>
        <w:fldChar w:fldCharType="separate"/>
      </w:r>
      <w:r>
        <w:rPr>
          <w:rStyle w:val="41"/>
          <w:rFonts w:ascii="Times New Roman" w:hAnsi="Times New Roman"/>
          <w:b w:val="0"/>
          <w:color w:val="auto"/>
          <w:sz w:val="24"/>
          <w:szCs w:val="24"/>
          <w:u w:val="none"/>
          <w:lang w:val="zh-CN"/>
        </w:rPr>
        <w:t>5</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分项及评定单元完损等级评定</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_Toc36906684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17</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"_Toc36906685" </w:instrText>
      </w:r>
      <w:r>
        <w:fldChar w:fldCharType="separate"/>
      </w:r>
      <w:r>
        <w:rPr>
          <w:rStyle w:val="41"/>
          <w:rFonts w:ascii="Times New Roman" w:hAnsi="Times New Roman"/>
          <w:color w:val="auto"/>
          <w:sz w:val="24"/>
          <w:szCs w:val="24"/>
          <w:u w:val="none"/>
        </w:rPr>
        <w:t>5.1</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分项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_Toc36906685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"_Toc36906686" </w:instrText>
      </w:r>
      <w:r>
        <w:fldChar w:fldCharType="separate"/>
      </w:r>
      <w:r>
        <w:rPr>
          <w:rStyle w:val="41"/>
          <w:rFonts w:ascii="Times New Roman" w:hAnsi="Times New Roman"/>
          <w:color w:val="auto"/>
          <w:sz w:val="24"/>
          <w:szCs w:val="24"/>
          <w:u w:val="none"/>
        </w:rPr>
        <w:t>5.2</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评定单元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_Toc36906686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"_Toc36906687" </w:instrText>
      </w:r>
      <w:r>
        <w:fldChar w:fldCharType="separate"/>
      </w:r>
      <w:r>
        <w:rPr>
          <w:rStyle w:val="41"/>
          <w:rFonts w:ascii="Times New Roman" w:hAnsi="Times New Roman"/>
          <w:b w:val="0"/>
          <w:color w:val="auto"/>
          <w:sz w:val="24"/>
          <w:szCs w:val="24"/>
          <w:u w:val="none"/>
          <w:lang w:val="zh-CN"/>
        </w:rPr>
        <w:t>6</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评定报告</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_Toc36906687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19</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5"/>
        <w:tabs>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"_Toc36906688" </w:instrText>
      </w:r>
      <w:r>
        <w:fldChar w:fldCharType="separate"/>
      </w:r>
      <w:r>
        <w:rPr>
          <w:rFonts w:ascii="Times New Roman" w:hAnsi="Times New Roman" w:cs="Times New Roman"/>
          <w:b w:val="0"/>
          <w:sz w:val="24"/>
          <w:szCs w:val="24"/>
        </w:rPr>
        <w:t>本标准用词说明</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_Toc36906688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20</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5"/>
        <w:tabs>
          <w:tab w:val="right" w:leader="dot" w:pos="8777"/>
        </w:tabs>
        <w:spacing w:before="0" w:after="0"/>
        <w:rPr>
          <w:rFonts w:ascii="Times New Roman" w:hAnsi="Times New Roman" w:cs="Times New Roman"/>
          <w:b w:val="0"/>
          <w:sz w:val="24"/>
          <w:szCs w:val="24"/>
        </w:rPr>
      </w:pPr>
    </w:p>
    <w:p>
      <w:pPr>
        <w:rPr>
          <w:sz w:val="24"/>
        </w:rPr>
      </w:pPr>
    </w:p>
    <w:p>
      <w:pPr>
        <w:jc w:val="center"/>
        <w:rPr>
          <w:sz w:val="24"/>
        </w:rPr>
        <w:sectPr>
          <w:footerReference r:id="rId7" w:type="default"/>
          <w:pgSz w:w="11906" w:h="16838"/>
          <w:pgMar w:top="1134" w:right="1418" w:bottom="1134" w:left="1701" w:header="851" w:footer="992" w:gutter="0"/>
          <w:cols w:space="425" w:num="1"/>
          <w:docGrid w:type="lines" w:linePitch="312" w:charSpace="0"/>
        </w:sectPr>
      </w:pPr>
    </w:p>
    <w:p>
      <w:pPr>
        <w:pStyle w:val="2"/>
        <w:rPr>
          <w:rFonts w:asciiTheme="minorEastAsia" w:hAnsiTheme="minorEastAsia" w:eastAsiaTheme="minorEastAsia"/>
          <w:sz w:val="30"/>
          <w:szCs w:val="30"/>
          <w:lang w:val="zh-CN"/>
        </w:rPr>
      </w:pPr>
      <w:bookmarkStart w:id="34" w:name="_Toc427329076"/>
      <w:bookmarkStart w:id="35" w:name="_Toc480540017"/>
      <w:bookmarkStart w:id="36" w:name="_Toc485909280"/>
      <w:bookmarkStart w:id="37" w:name="_Toc36906666"/>
      <w:bookmarkStart w:id="38" w:name="_Toc484520051"/>
      <w:bookmarkStart w:id="39" w:name="_Toc36905697"/>
      <w:bookmarkStart w:id="40" w:name="_Toc42149901"/>
      <w:bookmarkStart w:id="41" w:name="_Toc42149863"/>
      <w:r>
        <w:rPr>
          <w:rFonts w:hint="eastAsia" w:asciiTheme="minorEastAsia" w:hAnsiTheme="minorEastAsia" w:eastAsiaTheme="minorEastAsia"/>
          <w:sz w:val="30"/>
          <w:szCs w:val="30"/>
          <w:lang w:val="zh-CN"/>
        </w:rPr>
        <w:t>总则</w:t>
      </w:r>
      <w:bookmarkEnd w:id="34"/>
      <w:bookmarkEnd w:id="35"/>
      <w:bookmarkEnd w:id="36"/>
      <w:bookmarkEnd w:id="37"/>
      <w:bookmarkEnd w:id="38"/>
      <w:bookmarkEnd w:id="39"/>
      <w:bookmarkEnd w:id="40"/>
      <w:bookmarkEnd w:id="41"/>
    </w:p>
    <w:p>
      <w:pPr>
        <w:pStyle w:val="4"/>
        <w:numPr>
          <w:ilvl w:val="0"/>
          <w:numId w:val="0"/>
        </w:numPr>
        <w:rPr>
          <w:kern w:val="0"/>
        </w:rPr>
      </w:pPr>
      <w:r>
        <w:rPr>
          <w:kern w:val="0"/>
          <w:lang w:val="zh-CN"/>
        </w:rPr>
        <w:t>1.0.1</w:t>
      </w:r>
      <w:r>
        <w:rPr>
          <w:rFonts w:hint="eastAsia"/>
          <w:kern w:val="0"/>
          <w:lang w:val="zh-CN"/>
        </w:rPr>
        <w:t>为掌握各类房屋的完损状况，准确评定房屋完损等级，合理制定房屋修缮规划，制定本标准。</w:t>
      </w:r>
    </w:p>
    <w:p>
      <w:pPr>
        <w:pStyle w:val="4"/>
        <w:numPr>
          <w:ilvl w:val="0"/>
          <w:numId w:val="0"/>
        </w:numPr>
        <w:rPr>
          <w:i/>
          <w:kern w:val="0"/>
          <w:lang w:val="zh-CN"/>
        </w:rPr>
      </w:pPr>
      <w:r>
        <w:rPr>
          <w:kern w:val="0"/>
          <w:lang w:val="zh-CN"/>
        </w:rPr>
        <w:t>1.0.2</w:t>
      </w:r>
      <w:r>
        <w:rPr>
          <w:rFonts w:hint="eastAsia"/>
          <w:kern w:val="0"/>
          <w:lang w:val="zh-CN"/>
        </w:rPr>
        <w:t>本标准适用于既有房屋的房屋完损等级评定，不适用于房屋结构安全评定。</w:t>
      </w:r>
    </w:p>
    <w:p>
      <w:pPr>
        <w:pStyle w:val="4"/>
        <w:numPr>
          <w:ilvl w:val="0"/>
          <w:numId w:val="0"/>
        </w:numPr>
        <w:rPr>
          <w:lang w:val="zh-CN"/>
        </w:rPr>
      </w:pPr>
      <w:r>
        <w:rPr>
          <w:kern w:val="0"/>
          <w:lang w:val="zh-CN"/>
        </w:rPr>
        <w:t>1.0.3</w:t>
      </w:r>
      <w:r>
        <w:rPr>
          <w:rFonts w:hint="eastAsia"/>
          <w:kern w:val="0"/>
          <w:lang w:val="zh-CN"/>
        </w:rPr>
        <w:t>房屋完损等级的评定，除应符合本标准外，尚应符合国家现行有关标准的规定。</w:t>
      </w:r>
    </w:p>
    <w:p>
      <w:pPr>
        <w:rPr>
          <w:lang w:val="zh-CN"/>
        </w:rPr>
      </w:pPr>
    </w:p>
    <w:p>
      <w:pPr>
        <w:pStyle w:val="2"/>
        <w:rPr>
          <w:lang w:val="zh-CN"/>
        </w:rPr>
        <w:sectPr>
          <w:footerReference r:id="rId8" w:type="default"/>
          <w:pgSz w:w="11906" w:h="16838"/>
          <w:pgMar w:top="1440" w:right="1800" w:bottom="1440" w:left="1800" w:header="851" w:footer="992" w:gutter="0"/>
          <w:pgNumType w:start="1"/>
          <w:cols w:space="425" w:num="1"/>
          <w:docGrid w:type="lines" w:linePitch="312" w:charSpace="0"/>
        </w:sectPr>
      </w:pPr>
      <w:bookmarkStart w:id="42" w:name="_Toc480540018"/>
      <w:bookmarkStart w:id="43" w:name="_Toc485909281"/>
      <w:bookmarkStart w:id="44" w:name="_Toc427329077"/>
      <w:bookmarkStart w:id="45" w:name="_Toc484520052"/>
    </w:p>
    <w:p>
      <w:pPr>
        <w:pStyle w:val="2"/>
        <w:rPr>
          <w:rFonts w:asciiTheme="minorEastAsia" w:hAnsiTheme="minorEastAsia" w:eastAsiaTheme="minorEastAsia"/>
          <w:sz w:val="30"/>
          <w:szCs w:val="30"/>
          <w:lang w:val="zh-CN"/>
        </w:rPr>
      </w:pPr>
      <w:bookmarkStart w:id="46" w:name="_Toc42149864"/>
      <w:bookmarkStart w:id="47" w:name="_Toc36906667"/>
      <w:bookmarkStart w:id="48" w:name="_Toc42149902"/>
      <w:bookmarkStart w:id="49" w:name="_Toc36905698"/>
      <w:r>
        <w:rPr>
          <w:rFonts w:hint="eastAsia" w:asciiTheme="minorEastAsia" w:hAnsiTheme="minorEastAsia" w:eastAsiaTheme="minorEastAsia"/>
          <w:sz w:val="30"/>
          <w:szCs w:val="30"/>
          <w:lang w:val="zh-CN"/>
        </w:rPr>
        <w:t>术语</w:t>
      </w:r>
      <w:bookmarkEnd w:id="42"/>
      <w:bookmarkEnd w:id="43"/>
      <w:bookmarkEnd w:id="44"/>
      <w:bookmarkEnd w:id="45"/>
      <w:bookmarkEnd w:id="46"/>
      <w:bookmarkEnd w:id="47"/>
      <w:bookmarkEnd w:id="48"/>
      <w:bookmarkEnd w:id="49"/>
    </w:p>
    <w:p>
      <w:pPr>
        <w:pStyle w:val="4"/>
        <w:numPr>
          <w:ilvl w:val="0"/>
          <w:numId w:val="0"/>
        </w:numPr>
      </w:pPr>
      <w:r>
        <w:rPr>
          <w:rFonts w:hint="eastAsia"/>
        </w:rPr>
        <w:t>2.0.1既有房屋existing building</w:t>
      </w:r>
    </w:p>
    <w:p>
      <w:pPr>
        <w:pStyle w:val="74"/>
        <w:rPr>
          <w:lang w:val="en-US"/>
        </w:rPr>
      </w:pPr>
      <w:r>
        <w:rPr>
          <w:rFonts w:hint="eastAsia"/>
        </w:rPr>
        <w:t>建成并已投入使用的房屋。</w:t>
      </w:r>
    </w:p>
    <w:p>
      <w:pPr>
        <w:pStyle w:val="4"/>
        <w:numPr>
          <w:ilvl w:val="0"/>
          <w:numId w:val="0"/>
        </w:numPr>
      </w:pPr>
      <w:r>
        <w:rPr>
          <w:rFonts w:hint="eastAsia"/>
        </w:rPr>
        <w:t>2.0.2完损</w:t>
      </w:r>
      <w:r>
        <w:t>intact</w:t>
      </w:r>
      <w:r>
        <w:rPr>
          <w:rFonts w:hint="eastAsia"/>
        </w:rPr>
        <w:t xml:space="preserve"> and </w:t>
      </w:r>
      <w:r>
        <w:t>damage</w:t>
      </w:r>
    </w:p>
    <w:p>
      <w:pPr>
        <w:pStyle w:val="74"/>
        <w:rPr>
          <w:lang w:val="en-US"/>
        </w:rPr>
      </w:pPr>
      <w:r>
        <w:rPr>
          <w:rFonts w:hint="eastAsia"/>
        </w:rPr>
        <w:t>房屋表观完好程度和表观损坏情况的统称。</w:t>
      </w:r>
    </w:p>
    <w:p>
      <w:pPr>
        <w:pStyle w:val="4"/>
        <w:numPr>
          <w:ilvl w:val="0"/>
          <w:numId w:val="0"/>
        </w:numPr>
      </w:pPr>
      <w:r>
        <w:rPr>
          <w:rFonts w:hint="eastAsia"/>
        </w:rPr>
        <w:t>2.0.3房屋完损等级</w:t>
      </w:r>
      <w:r>
        <w:t>damage</w:t>
      </w:r>
      <w:r>
        <w:rPr>
          <w:rFonts w:hint="eastAsia"/>
        </w:rPr>
        <w:t>grade</w:t>
      </w:r>
      <w:r>
        <w:t>of</w:t>
      </w:r>
      <w:r>
        <w:rPr>
          <w:rFonts w:hint="eastAsia"/>
        </w:rPr>
        <w:t>buildings</w:t>
      </w:r>
    </w:p>
    <w:p>
      <w:pPr>
        <w:pStyle w:val="74"/>
      </w:pPr>
      <w:r>
        <w:rPr>
          <w:rFonts w:hint="eastAsia"/>
        </w:rPr>
        <w:t>反映房屋表观及使用状况的指标，由房屋的建筑装饰、结构和设施设备三个部分的损坏程度与损坏范围综合确定。</w:t>
      </w:r>
    </w:p>
    <w:p>
      <w:pPr>
        <w:pStyle w:val="4"/>
        <w:numPr>
          <w:ilvl w:val="0"/>
          <w:numId w:val="0"/>
        </w:numPr>
      </w:pPr>
      <w:r>
        <w:rPr>
          <w:rFonts w:hint="eastAsia"/>
        </w:rPr>
        <w:t>2.0.4表观损坏exterior damage</w:t>
      </w:r>
    </w:p>
    <w:p>
      <w:pPr>
        <w:pStyle w:val="74"/>
      </w:pPr>
      <w:r>
        <w:rPr>
          <w:rFonts w:hint="eastAsia"/>
        </w:rPr>
        <w:t>房屋外露可视的损坏特征，主要包括开裂、变形、缺损、渗漏、锈蚀、腐朽、风化、蛀蚀等，以及可能影响到房屋使用性的整体变形。</w:t>
      </w:r>
    </w:p>
    <w:p>
      <w:pPr>
        <w:pStyle w:val="4"/>
        <w:numPr>
          <w:ilvl w:val="0"/>
          <w:numId w:val="0"/>
        </w:numPr>
      </w:pPr>
      <w:r>
        <w:rPr>
          <w:rFonts w:hint="eastAsia"/>
        </w:rPr>
        <w:t>2.0.5安全隐患</w:t>
      </w:r>
      <w:r>
        <w:t>potential</w:t>
      </w:r>
      <w:r>
        <w:rPr>
          <w:rFonts w:hint="eastAsia"/>
        </w:rPr>
        <w:t xml:space="preserve"> risk</w:t>
      </w:r>
    </w:p>
    <w:p>
      <w:pPr>
        <w:pStyle w:val="74"/>
      </w:pPr>
      <w:r>
        <w:rPr>
          <w:rFonts w:hint="eastAsia"/>
        </w:rPr>
        <w:t>房屋在使用过程中存在易导致安全事故发生的危险因素。</w:t>
      </w:r>
    </w:p>
    <w:p>
      <w:pPr>
        <w:pStyle w:val="4"/>
        <w:numPr>
          <w:ilvl w:val="0"/>
          <w:numId w:val="0"/>
        </w:numPr>
      </w:pPr>
      <w:r>
        <w:rPr>
          <w:rFonts w:hint="eastAsia"/>
        </w:rPr>
        <w:t>2.0.6评定单元evaluationunit</w:t>
      </w:r>
    </w:p>
    <w:p>
      <w:pPr>
        <w:pStyle w:val="74"/>
      </w:pPr>
      <w:r>
        <w:t>可独立进行评定的一个对象名称，可指单体房屋，也可指房屋相对独立的一部分。</w:t>
      </w:r>
    </w:p>
    <w:p>
      <w:pPr>
        <w:pStyle w:val="4"/>
        <w:numPr>
          <w:ilvl w:val="0"/>
          <w:numId w:val="0"/>
        </w:numPr>
      </w:pPr>
      <w:r>
        <w:rPr>
          <w:rFonts w:hint="eastAsia"/>
        </w:rPr>
        <w:t>2.0.7分项</w:t>
      </w:r>
      <w:r>
        <w:rPr>
          <w:rFonts w:hint="eastAsia" w:cs="宋体"/>
          <w:szCs w:val="20"/>
        </w:rPr>
        <w:t>item</w:t>
      </w:r>
    </w:p>
    <w:p>
      <w:pPr>
        <w:pStyle w:val="74"/>
      </w:pPr>
      <w:r>
        <w:rPr>
          <w:rFonts w:hint="eastAsia"/>
        </w:rPr>
        <w:t>按专业性质、功能特征，将评定单元划分成若干个评定组成部分。</w:t>
      </w:r>
    </w:p>
    <w:p>
      <w:pPr>
        <w:pStyle w:val="4"/>
        <w:numPr>
          <w:ilvl w:val="0"/>
          <w:numId w:val="0"/>
        </w:numPr>
      </w:pPr>
      <w:r>
        <w:rPr>
          <w:rFonts w:hint="eastAsia"/>
        </w:rPr>
        <w:t>2.0.8子项</w:t>
      </w:r>
      <w:r>
        <w:rPr>
          <w:rFonts w:cs="宋体"/>
          <w:szCs w:val="20"/>
        </w:rPr>
        <w:t>sub-</w:t>
      </w:r>
      <w:r>
        <w:rPr>
          <w:rFonts w:hint="eastAsia" w:cs="宋体"/>
          <w:szCs w:val="20"/>
        </w:rPr>
        <w:t>item</w:t>
      </w:r>
    </w:p>
    <w:p>
      <w:pPr>
        <w:pStyle w:val="74"/>
      </w:pPr>
      <w:r>
        <w:t>分项中可以进一步细分的评定项目，它可以是单项内容，或组合内容。</w:t>
      </w:r>
    </w:p>
    <w:p>
      <w:pPr>
        <w:pStyle w:val="74"/>
        <w:rPr>
          <w:lang w:val="en-US"/>
        </w:rPr>
      </w:pPr>
    </w:p>
    <w:p>
      <w:pPr>
        <w:pStyle w:val="74"/>
      </w:pPr>
      <w:r>
        <w:br w:type="page"/>
      </w:r>
    </w:p>
    <w:p>
      <w:pPr>
        <w:pStyle w:val="2"/>
        <w:keepNext w:val="0"/>
        <w:rPr>
          <w:rFonts w:ascii="宋体" w:hAnsi="宋体" w:eastAsia="宋体"/>
          <w:sz w:val="30"/>
          <w:szCs w:val="30"/>
          <w:lang w:val="zh-CN"/>
        </w:rPr>
      </w:pPr>
      <w:bookmarkStart w:id="50" w:name="_Toc480540021"/>
      <w:bookmarkStart w:id="51" w:name="_Toc427329080"/>
      <w:bookmarkStart w:id="52" w:name="_Toc42149865"/>
      <w:bookmarkStart w:id="53" w:name="_Toc36905701"/>
      <w:bookmarkStart w:id="54" w:name="_Toc36906670"/>
      <w:bookmarkStart w:id="55" w:name="_Toc484520055"/>
      <w:bookmarkStart w:id="56" w:name="_Toc485909284"/>
      <w:bookmarkStart w:id="57" w:name="_Toc42149903"/>
      <w:r>
        <w:rPr>
          <w:rFonts w:hint="eastAsia" w:ascii="宋体" w:hAnsi="宋体" w:eastAsia="宋体"/>
          <w:sz w:val="30"/>
          <w:szCs w:val="30"/>
          <w:lang w:val="zh-CN"/>
        </w:rPr>
        <w:t>基本规定</w:t>
      </w:r>
      <w:bookmarkEnd w:id="50"/>
      <w:bookmarkEnd w:id="51"/>
      <w:bookmarkEnd w:id="52"/>
      <w:bookmarkEnd w:id="53"/>
      <w:bookmarkEnd w:id="54"/>
      <w:bookmarkEnd w:id="55"/>
      <w:bookmarkEnd w:id="56"/>
      <w:bookmarkEnd w:id="57"/>
    </w:p>
    <w:p>
      <w:pPr>
        <w:pStyle w:val="4"/>
        <w:numPr>
          <w:ilvl w:val="0"/>
          <w:numId w:val="0"/>
        </w:numPr>
        <w:rPr>
          <w:kern w:val="0"/>
          <w:szCs w:val="24"/>
          <w:lang w:val="zh-CN"/>
        </w:rPr>
      </w:pPr>
      <w:r>
        <w:rPr>
          <w:rFonts w:eastAsia="黑体"/>
          <w:bCs w:val="0"/>
          <w:szCs w:val="24"/>
        </w:rPr>
        <w:t>3.0.1</w:t>
      </w:r>
      <w:r>
        <w:rPr>
          <w:rFonts w:hint="eastAsia"/>
          <w:kern w:val="0"/>
          <w:szCs w:val="24"/>
          <w:lang w:val="zh-CN"/>
        </w:rPr>
        <w:t>房屋完损等级评定应采用目测、</w:t>
      </w:r>
      <w:r>
        <w:rPr>
          <w:rFonts w:hint="eastAsia"/>
          <w:szCs w:val="24"/>
          <w:lang w:val="zh-CN"/>
        </w:rPr>
        <w:t>简便</w:t>
      </w:r>
      <w:r>
        <w:rPr>
          <w:rFonts w:hint="eastAsia"/>
          <w:kern w:val="0"/>
          <w:szCs w:val="24"/>
          <w:lang w:val="zh-CN"/>
        </w:rPr>
        <w:t>量测等常规手段，在对既有房屋表观损坏现象全面分析的基础上，进行综合评定。</w:t>
      </w:r>
    </w:p>
    <w:p>
      <w:pPr>
        <w:pStyle w:val="4"/>
        <w:numPr>
          <w:ilvl w:val="0"/>
          <w:numId w:val="0"/>
        </w:numPr>
        <w:rPr>
          <w:b/>
          <w:kern w:val="0"/>
          <w:szCs w:val="24"/>
          <w:lang w:val="zh-CN"/>
        </w:rPr>
      </w:pPr>
      <w:r>
        <w:rPr>
          <w:kern w:val="0"/>
          <w:szCs w:val="24"/>
          <w:lang w:val="zh-CN"/>
        </w:rPr>
        <w:t xml:space="preserve">3.0.2 </w:t>
      </w:r>
      <w:r>
        <w:rPr>
          <w:rFonts w:hint="eastAsia"/>
          <w:kern w:val="0"/>
          <w:szCs w:val="24"/>
          <w:lang w:val="zh-CN"/>
        </w:rPr>
        <w:t>在下列情况下，可进行房屋完损等级评定：</w:t>
      </w:r>
    </w:p>
    <w:p>
      <w:pPr>
        <w:pStyle w:val="74"/>
      </w:pPr>
      <w:r>
        <w:t xml:space="preserve">1 </w:t>
      </w:r>
      <w:r>
        <w:rPr>
          <w:rFonts w:hint="eastAsia"/>
        </w:rPr>
        <w:t>房屋日常管理、制定修缮计划需要时；</w:t>
      </w:r>
    </w:p>
    <w:p>
      <w:pPr>
        <w:pStyle w:val="74"/>
      </w:pPr>
      <w:r>
        <w:t xml:space="preserve">2 </w:t>
      </w:r>
      <w:r>
        <w:rPr>
          <w:rFonts w:hint="eastAsia"/>
        </w:rPr>
        <w:t>房屋大范围普查、排查时；</w:t>
      </w:r>
    </w:p>
    <w:p>
      <w:pPr>
        <w:pStyle w:val="74"/>
      </w:pPr>
      <w:r>
        <w:t xml:space="preserve">3 </w:t>
      </w:r>
      <w:r>
        <w:rPr>
          <w:rFonts w:hint="eastAsia"/>
        </w:rPr>
        <w:t>房屋周边存在工程施工或环境影响时；</w:t>
      </w:r>
    </w:p>
    <w:p>
      <w:pPr>
        <w:pStyle w:val="74"/>
      </w:pPr>
      <w:r>
        <w:t xml:space="preserve">4 </w:t>
      </w:r>
      <w:r>
        <w:rPr>
          <w:rFonts w:hint="eastAsia"/>
        </w:rPr>
        <w:t>其他需要掌握房屋完损状况时。</w:t>
      </w:r>
    </w:p>
    <w:p>
      <w:pPr>
        <w:pStyle w:val="4"/>
        <w:numPr>
          <w:ilvl w:val="0"/>
          <w:numId w:val="0"/>
        </w:numPr>
        <w:rPr>
          <w:kern w:val="0"/>
          <w:szCs w:val="24"/>
          <w:lang w:val="zh-CN"/>
        </w:rPr>
      </w:pPr>
      <w:r>
        <w:rPr>
          <w:kern w:val="0"/>
          <w:szCs w:val="24"/>
          <w:lang w:val="zh-CN"/>
        </w:rPr>
        <w:t>3.0.3</w:t>
      </w:r>
      <w:r>
        <w:rPr>
          <w:rFonts w:hint="eastAsia"/>
          <w:kern w:val="0"/>
          <w:szCs w:val="24"/>
          <w:lang w:val="zh-CN"/>
        </w:rPr>
        <w:t>房屋完损等级评定的对象宜为整幢房屋，也可为房屋的一部分或房屋的分项、子项。</w:t>
      </w:r>
    </w:p>
    <w:p>
      <w:pPr>
        <w:pStyle w:val="4"/>
        <w:numPr>
          <w:ilvl w:val="0"/>
          <w:numId w:val="0"/>
        </w:numPr>
        <w:rPr>
          <w:kern w:val="0"/>
          <w:szCs w:val="24"/>
          <w:lang w:val="zh-CN"/>
        </w:rPr>
      </w:pPr>
      <w:r>
        <w:rPr>
          <w:kern w:val="0"/>
          <w:szCs w:val="24"/>
          <w:lang w:val="zh-CN"/>
        </w:rPr>
        <w:t>3.0.4</w:t>
      </w:r>
      <w:r>
        <w:rPr>
          <w:rFonts w:hint="eastAsia"/>
          <w:kern w:val="0"/>
          <w:szCs w:val="24"/>
          <w:lang w:val="zh-CN"/>
        </w:rPr>
        <w:t>房屋完损等级评定过程中发现安全隐患，影响结构安全或使用安全时，应按照相关标准对房屋进行安全性检测鉴定。</w:t>
      </w:r>
    </w:p>
    <w:p>
      <w:pPr>
        <w:pStyle w:val="4"/>
        <w:numPr>
          <w:ilvl w:val="0"/>
          <w:numId w:val="0"/>
        </w:numPr>
        <w:rPr>
          <w:kern w:val="0"/>
          <w:szCs w:val="24"/>
          <w:lang w:val="zh-CN"/>
        </w:rPr>
      </w:pPr>
      <w:r>
        <w:rPr>
          <w:rFonts w:eastAsia="黑体"/>
          <w:bCs w:val="0"/>
          <w:szCs w:val="24"/>
        </w:rPr>
        <w:t>3.0.5</w:t>
      </w:r>
      <w:r>
        <w:rPr>
          <w:rFonts w:hint="eastAsia"/>
          <w:kern w:val="0"/>
          <w:szCs w:val="24"/>
          <w:lang w:val="zh-CN"/>
        </w:rPr>
        <w:t>房屋完损等级评定宜按下列程序进行：</w:t>
      </w:r>
    </w:p>
    <w:p>
      <w:pPr>
        <w:pStyle w:val="74"/>
      </w:pPr>
      <w:r>
        <w:t>1</w:t>
      </w:r>
      <w:r>
        <w:rPr>
          <w:rFonts w:hint="eastAsia"/>
        </w:rPr>
        <w:t>接受委托；</w:t>
      </w:r>
    </w:p>
    <w:p>
      <w:pPr>
        <w:pStyle w:val="74"/>
      </w:pPr>
      <w:r>
        <w:t xml:space="preserve">2 </w:t>
      </w:r>
      <w:r>
        <w:rPr>
          <w:rFonts w:hint="eastAsia"/>
        </w:rPr>
        <w:t>明确评定的目的、要求、内容及范围；</w:t>
      </w:r>
    </w:p>
    <w:p>
      <w:pPr>
        <w:pStyle w:val="74"/>
      </w:pPr>
      <w:r>
        <w:t xml:space="preserve">3 </w:t>
      </w:r>
      <w:r>
        <w:rPr>
          <w:rFonts w:hint="eastAsia"/>
        </w:rPr>
        <w:t>组织实施现场工作；</w:t>
      </w:r>
    </w:p>
    <w:p>
      <w:pPr>
        <w:pStyle w:val="74"/>
      </w:pPr>
      <w:r>
        <w:t xml:space="preserve">4 </w:t>
      </w:r>
      <w:r>
        <w:rPr>
          <w:rFonts w:hint="eastAsia"/>
        </w:rPr>
        <w:t>数据处理、分析评级；</w:t>
      </w:r>
    </w:p>
    <w:p>
      <w:pPr>
        <w:pStyle w:val="74"/>
      </w:pPr>
      <w:r>
        <w:t>5</w:t>
      </w:r>
      <w:r>
        <w:rPr>
          <w:rFonts w:hint="eastAsia"/>
        </w:rPr>
        <w:t>得出结论，提出建议。</w:t>
      </w:r>
    </w:p>
    <w:p>
      <w:pPr>
        <w:pStyle w:val="4"/>
        <w:numPr>
          <w:ilvl w:val="0"/>
          <w:numId w:val="0"/>
        </w:numPr>
        <w:rPr>
          <w:kern w:val="0"/>
          <w:szCs w:val="24"/>
          <w:lang w:val="zh-CN"/>
        </w:rPr>
      </w:pPr>
      <w:r>
        <w:rPr>
          <w:kern w:val="0"/>
          <w:szCs w:val="24"/>
          <w:lang w:val="zh-CN"/>
        </w:rPr>
        <w:t>3.0.6</w:t>
      </w:r>
      <w:r>
        <w:rPr>
          <w:rFonts w:hint="eastAsia"/>
          <w:kern w:val="0"/>
          <w:szCs w:val="24"/>
          <w:lang w:val="zh-CN"/>
        </w:rPr>
        <w:t>房屋完损等级，应按子项、分项和评定单元三个层次进行评定，每一层次应分四个完损等级，并应按表</w:t>
      </w:r>
      <w:r>
        <w:rPr>
          <w:kern w:val="0"/>
          <w:szCs w:val="24"/>
          <w:lang w:val="zh-CN"/>
        </w:rPr>
        <w:t>3.0.6</w:t>
      </w:r>
      <w:r>
        <w:rPr>
          <w:rFonts w:hint="eastAsia"/>
          <w:kern w:val="0"/>
          <w:szCs w:val="24"/>
          <w:lang w:val="zh-CN"/>
        </w:rPr>
        <w:t>规定的内容和步骤，从第一层开始，逐层进行。</w:t>
      </w:r>
    </w:p>
    <w:p>
      <w:pPr>
        <w:pStyle w:val="78"/>
      </w:pPr>
      <w:r>
        <w:rPr>
          <w:rFonts w:hint="eastAsia" w:cs="Times New Roman"/>
        </w:rPr>
        <w:t>表</w:t>
      </w:r>
      <w:r>
        <w:rPr>
          <w:rFonts w:cs="Times New Roman"/>
        </w:rPr>
        <w:t>3.0.6</w:t>
      </w:r>
      <w:r>
        <w:rPr>
          <w:rFonts w:hint="eastAsia" w:cs="Times New Roman"/>
        </w:rPr>
        <w:t>房屋</w:t>
      </w:r>
      <w:r>
        <w:rPr>
          <w:rFonts w:hint="eastAsia"/>
        </w:rPr>
        <w:t>完损等级评定的层次、等级划分及内容</w:t>
      </w:r>
    </w:p>
    <w:tbl>
      <w:tblPr>
        <w:tblStyle w:val="35"/>
        <w:tblW w:w="83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1"/>
        <w:gridCol w:w="2741"/>
        <w:gridCol w:w="2403"/>
        <w:gridCol w:w="25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tcBorders>
              <w:top w:val="single" w:color="auto" w:sz="12" w:space="0"/>
            </w:tcBorders>
            <w:vAlign w:val="center"/>
          </w:tcPr>
          <w:p>
            <w:pPr>
              <w:widowControl/>
              <w:spacing w:line="360" w:lineRule="auto"/>
              <w:jc w:val="center"/>
              <w:rPr>
                <w:rFonts w:ascii="宋体"/>
                <w:kern w:val="0"/>
                <w:szCs w:val="21"/>
              </w:rPr>
            </w:pPr>
            <w:r>
              <w:rPr>
                <w:rFonts w:hint="eastAsia" w:ascii="宋体" w:hAnsi="宋体"/>
                <w:kern w:val="0"/>
                <w:szCs w:val="21"/>
              </w:rPr>
              <w:t>层次</w:t>
            </w:r>
          </w:p>
        </w:tc>
        <w:tc>
          <w:tcPr>
            <w:tcW w:w="2741" w:type="dxa"/>
            <w:tcBorders>
              <w:top w:val="single" w:color="auto" w:sz="12" w:space="0"/>
            </w:tcBorders>
            <w:vAlign w:val="center"/>
          </w:tcPr>
          <w:p>
            <w:pPr>
              <w:widowControl/>
              <w:spacing w:line="360" w:lineRule="auto"/>
              <w:jc w:val="center"/>
              <w:rPr>
                <w:rFonts w:ascii="宋体"/>
                <w:kern w:val="0"/>
                <w:szCs w:val="21"/>
              </w:rPr>
            </w:pPr>
            <w:r>
              <w:rPr>
                <w:rFonts w:hint="eastAsia" w:ascii="宋体" w:hAnsi="宋体"/>
                <w:kern w:val="0"/>
                <w:szCs w:val="21"/>
              </w:rPr>
              <w:t>一</w:t>
            </w:r>
          </w:p>
        </w:tc>
        <w:tc>
          <w:tcPr>
            <w:tcW w:w="2403" w:type="dxa"/>
            <w:tcBorders>
              <w:top w:val="single" w:color="auto" w:sz="12" w:space="0"/>
            </w:tcBorders>
            <w:vAlign w:val="center"/>
          </w:tcPr>
          <w:p>
            <w:pPr>
              <w:jc w:val="center"/>
              <w:rPr>
                <w:rFonts w:ascii="宋体"/>
                <w:szCs w:val="21"/>
              </w:rPr>
            </w:pPr>
            <w:r>
              <w:rPr>
                <w:rFonts w:hint="eastAsia" w:ascii="宋体" w:hAnsi="宋体"/>
                <w:szCs w:val="21"/>
              </w:rPr>
              <w:t>二</w:t>
            </w:r>
          </w:p>
        </w:tc>
        <w:tc>
          <w:tcPr>
            <w:tcW w:w="2507" w:type="dxa"/>
            <w:tcBorders>
              <w:top w:val="single" w:color="auto" w:sz="12" w:space="0"/>
            </w:tcBorders>
            <w:vAlign w:val="center"/>
          </w:tcPr>
          <w:p>
            <w:pPr>
              <w:jc w:val="center"/>
              <w:rPr>
                <w:rFonts w:ascii="宋体"/>
                <w:szCs w:val="21"/>
              </w:rPr>
            </w:pPr>
            <w:r>
              <w:rPr>
                <w:rFonts w:hint="eastAsia" w:ascii="宋体" w:hAnsi="宋体"/>
                <w:szCs w:val="21"/>
              </w:rPr>
              <w:t>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Align w:val="center"/>
          </w:tcPr>
          <w:p>
            <w:pPr>
              <w:widowControl/>
              <w:spacing w:line="360" w:lineRule="auto"/>
              <w:jc w:val="center"/>
              <w:rPr>
                <w:rFonts w:ascii="宋体"/>
                <w:kern w:val="0"/>
                <w:szCs w:val="21"/>
              </w:rPr>
            </w:pPr>
            <w:r>
              <w:rPr>
                <w:rFonts w:hint="eastAsia" w:ascii="宋体" w:hAnsi="宋体"/>
                <w:kern w:val="0"/>
                <w:szCs w:val="21"/>
              </w:rPr>
              <w:t>层名</w:t>
            </w: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子项</w:t>
            </w:r>
          </w:p>
        </w:tc>
        <w:tc>
          <w:tcPr>
            <w:tcW w:w="2403" w:type="dxa"/>
            <w:vAlign w:val="center"/>
          </w:tcPr>
          <w:p>
            <w:pPr>
              <w:widowControl/>
              <w:spacing w:line="360" w:lineRule="auto"/>
              <w:jc w:val="center"/>
              <w:rPr>
                <w:rFonts w:ascii="宋体"/>
                <w:kern w:val="0"/>
                <w:szCs w:val="21"/>
              </w:rPr>
            </w:pPr>
            <w:r>
              <w:rPr>
                <w:rFonts w:hint="eastAsia" w:ascii="宋体" w:hAnsi="宋体"/>
                <w:kern w:val="0"/>
                <w:szCs w:val="21"/>
              </w:rPr>
              <w:t>分项</w:t>
            </w:r>
          </w:p>
        </w:tc>
        <w:tc>
          <w:tcPr>
            <w:tcW w:w="2507" w:type="dxa"/>
            <w:vAlign w:val="center"/>
          </w:tcPr>
          <w:p>
            <w:pPr>
              <w:widowControl/>
              <w:spacing w:line="360" w:lineRule="auto"/>
              <w:jc w:val="center"/>
              <w:rPr>
                <w:rFonts w:ascii="宋体"/>
                <w:kern w:val="0"/>
                <w:szCs w:val="21"/>
              </w:rPr>
            </w:pPr>
            <w:r>
              <w:rPr>
                <w:rFonts w:hint="eastAsia" w:ascii="宋体" w:hAnsi="宋体"/>
                <w:kern w:val="0"/>
                <w:szCs w:val="21"/>
              </w:rPr>
              <w:t>评定单元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Align w:val="center"/>
          </w:tcPr>
          <w:p>
            <w:pPr>
              <w:widowControl/>
              <w:spacing w:line="360" w:lineRule="auto"/>
              <w:jc w:val="center"/>
              <w:rPr>
                <w:rFonts w:ascii="宋体"/>
                <w:kern w:val="0"/>
                <w:szCs w:val="21"/>
              </w:rPr>
            </w:pPr>
            <w:r>
              <w:rPr>
                <w:rFonts w:hint="eastAsia" w:ascii="宋体" w:hAnsi="宋体"/>
                <w:kern w:val="0"/>
                <w:szCs w:val="21"/>
              </w:rPr>
              <w:t>等级</w:t>
            </w: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①级、②级、③级、④级</w:t>
            </w:r>
          </w:p>
        </w:tc>
        <w:tc>
          <w:tcPr>
            <w:tcW w:w="2403" w:type="dxa"/>
            <w:vAlign w:val="center"/>
          </w:tcPr>
          <w:p>
            <w:pPr>
              <w:widowControl/>
              <w:spacing w:line="360" w:lineRule="auto"/>
              <w:jc w:val="center"/>
              <w:rPr>
                <w:rFonts w:ascii="宋体" w:hAnsi="宋体"/>
                <w:kern w:val="0"/>
                <w:szCs w:val="21"/>
              </w:rPr>
            </w:pPr>
            <w:r>
              <w:rPr>
                <w:rFonts w:ascii="宋体" w:hAnsi="宋体"/>
                <w:kern w:val="0"/>
                <w:szCs w:val="21"/>
              </w:rPr>
              <w:t>1</w:t>
            </w:r>
            <w:r>
              <w:rPr>
                <w:rFonts w:hint="eastAsia" w:ascii="宋体" w:hAnsi="宋体"/>
                <w:kern w:val="0"/>
                <w:szCs w:val="21"/>
              </w:rPr>
              <w:t>级、</w:t>
            </w:r>
            <w:r>
              <w:rPr>
                <w:rFonts w:ascii="宋体" w:hAnsi="宋体"/>
                <w:kern w:val="0"/>
                <w:szCs w:val="21"/>
              </w:rPr>
              <w:t>2</w:t>
            </w:r>
            <w:r>
              <w:rPr>
                <w:rFonts w:hint="eastAsia" w:ascii="宋体" w:hAnsi="宋体"/>
                <w:kern w:val="0"/>
                <w:szCs w:val="21"/>
              </w:rPr>
              <w:t>级、</w:t>
            </w:r>
            <w:r>
              <w:rPr>
                <w:rFonts w:ascii="宋体" w:hAnsi="宋体"/>
                <w:kern w:val="0"/>
                <w:szCs w:val="21"/>
              </w:rPr>
              <w:t>3</w:t>
            </w:r>
            <w:r>
              <w:rPr>
                <w:rFonts w:hint="eastAsia" w:ascii="宋体" w:hAnsi="宋体"/>
                <w:kern w:val="0"/>
                <w:szCs w:val="21"/>
              </w:rPr>
              <w:t>级、</w:t>
            </w:r>
            <w:r>
              <w:rPr>
                <w:rFonts w:ascii="宋体" w:hAnsi="宋体"/>
                <w:kern w:val="0"/>
                <w:szCs w:val="21"/>
              </w:rPr>
              <w:t>4</w:t>
            </w:r>
            <w:r>
              <w:rPr>
                <w:rFonts w:hint="eastAsia" w:ascii="宋体" w:hAnsi="宋体"/>
                <w:kern w:val="0"/>
                <w:szCs w:val="21"/>
              </w:rPr>
              <w:t>级</w:t>
            </w:r>
          </w:p>
        </w:tc>
        <w:tc>
          <w:tcPr>
            <w:tcW w:w="2507" w:type="dxa"/>
            <w:vAlign w:val="center"/>
          </w:tcPr>
          <w:p>
            <w:pPr>
              <w:widowControl/>
              <w:spacing w:line="360" w:lineRule="auto"/>
              <w:jc w:val="center"/>
              <w:rPr>
                <w:rFonts w:ascii="宋体"/>
                <w:kern w:val="0"/>
                <w:szCs w:val="21"/>
              </w:rPr>
            </w:pPr>
            <w:r>
              <w:rPr>
                <w:rFonts w:hint="eastAsia" w:ascii="宋体" w:hAnsi="宋体"/>
                <w:kern w:val="0"/>
                <w:szCs w:val="21"/>
              </w:rPr>
              <w:t>一级、二级、三级、四级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restart"/>
            <w:vAlign w:val="center"/>
          </w:tcPr>
          <w:p>
            <w:pPr>
              <w:spacing w:line="360" w:lineRule="auto"/>
              <w:jc w:val="center"/>
              <w:rPr>
                <w:rFonts w:ascii="宋体"/>
                <w:kern w:val="0"/>
                <w:szCs w:val="21"/>
              </w:rPr>
            </w:pPr>
            <w:r>
              <w:rPr>
                <w:rFonts w:hint="eastAsia" w:ascii="宋体" w:hAnsi="宋体"/>
                <w:kern w:val="0"/>
                <w:szCs w:val="21"/>
              </w:rPr>
              <w:t>评定内容</w:t>
            </w: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屋面评级</w:t>
            </w:r>
          </w:p>
        </w:tc>
        <w:tc>
          <w:tcPr>
            <w:tcW w:w="2403" w:type="dxa"/>
            <w:vMerge w:val="restart"/>
            <w:vAlign w:val="center"/>
          </w:tcPr>
          <w:p>
            <w:pPr>
              <w:widowControl/>
              <w:jc w:val="center"/>
              <w:rPr>
                <w:rFonts w:ascii="宋体"/>
                <w:kern w:val="0"/>
                <w:szCs w:val="21"/>
              </w:rPr>
            </w:pPr>
            <w:r>
              <w:rPr>
                <w:rFonts w:hint="eastAsia" w:ascii="宋体" w:hAnsi="宋体"/>
                <w:kern w:val="0"/>
                <w:szCs w:val="21"/>
              </w:rPr>
              <w:t>建筑装饰部分</w:t>
            </w:r>
          </w:p>
          <w:p>
            <w:pPr>
              <w:widowControl/>
              <w:jc w:val="center"/>
              <w:rPr>
                <w:rFonts w:ascii="宋体"/>
                <w:kern w:val="0"/>
                <w:szCs w:val="21"/>
              </w:rPr>
            </w:pPr>
            <w:r>
              <w:rPr>
                <w:rFonts w:hint="eastAsia" w:ascii="宋体" w:hAnsi="宋体"/>
                <w:kern w:val="0"/>
                <w:szCs w:val="21"/>
              </w:rPr>
              <w:t>评级</w:t>
            </w:r>
          </w:p>
        </w:tc>
        <w:tc>
          <w:tcPr>
            <w:tcW w:w="2507" w:type="dxa"/>
            <w:vMerge w:val="restart"/>
            <w:vAlign w:val="center"/>
          </w:tcPr>
          <w:p>
            <w:pPr>
              <w:widowControl/>
              <w:jc w:val="center"/>
              <w:rPr>
                <w:rFonts w:ascii="宋体"/>
                <w:kern w:val="0"/>
                <w:szCs w:val="21"/>
              </w:rPr>
            </w:pPr>
            <w:r>
              <w:rPr>
                <w:rFonts w:hint="eastAsia" w:ascii="宋体" w:hAnsi="宋体"/>
                <w:kern w:val="0"/>
                <w:szCs w:val="21"/>
              </w:rPr>
              <w:t>房屋</w:t>
            </w:r>
          </w:p>
          <w:p>
            <w:pPr>
              <w:widowControl/>
              <w:jc w:val="center"/>
              <w:rPr>
                <w:rFonts w:ascii="宋体"/>
                <w:kern w:val="0"/>
                <w:szCs w:val="21"/>
              </w:rPr>
            </w:pPr>
            <w:r>
              <w:rPr>
                <w:rFonts w:hint="eastAsia" w:ascii="宋体" w:hAnsi="宋体"/>
                <w:kern w:val="0"/>
                <w:szCs w:val="21"/>
              </w:rPr>
              <w:t>完损评级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外立面评级</w:t>
            </w:r>
          </w:p>
        </w:tc>
        <w:tc>
          <w:tcPr>
            <w:tcW w:w="2403"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室内建筑装饰评级</w:t>
            </w:r>
          </w:p>
        </w:tc>
        <w:tc>
          <w:tcPr>
            <w:tcW w:w="2403"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门窗评级</w:t>
            </w:r>
          </w:p>
        </w:tc>
        <w:tc>
          <w:tcPr>
            <w:tcW w:w="2403"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其他非结构构件及建筑构造</w:t>
            </w:r>
          </w:p>
        </w:tc>
        <w:tc>
          <w:tcPr>
            <w:tcW w:w="2403"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地基基础评级</w:t>
            </w:r>
          </w:p>
        </w:tc>
        <w:tc>
          <w:tcPr>
            <w:tcW w:w="2403" w:type="dxa"/>
            <w:vMerge w:val="restart"/>
            <w:vAlign w:val="center"/>
          </w:tcPr>
          <w:p>
            <w:pPr>
              <w:widowControl/>
              <w:jc w:val="center"/>
              <w:rPr>
                <w:rFonts w:ascii="宋体"/>
                <w:kern w:val="0"/>
                <w:szCs w:val="21"/>
              </w:rPr>
            </w:pPr>
            <w:r>
              <w:rPr>
                <w:rFonts w:hint="eastAsia" w:ascii="宋体" w:hAnsi="宋体"/>
                <w:kern w:val="0"/>
                <w:szCs w:val="21"/>
              </w:rPr>
              <w:t>结构部分</w:t>
            </w:r>
          </w:p>
          <w:p>
            <w:pPr>
              <w:widowControl/>
              <w:jc w:val="center"/>
              <w:rPr>
                <w:rFonts w:ascii="宋体"/>
                <w:kern w:val="0"/>
                <w:szCs w:val="21"/>
              </w:rPr>
            </w:pPr>
            <w:r>
              <w:rPr>
                <w:rFonts w:hint="eastAsia" w:ascii="宋体" w:hAnsi="宋体"/>
                <w:kern w:val="0"/>
                <w:szCs w:val="21"/>
              </w:rPr>
              <w:t>评级</w:t>
            </w: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上部结构评级</w:t>
            </w:r>
          </w:p>
        </w:tc>
        <w:tc>
          <w:tcPr>
            <w:tcW w:w="2403"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给排水设施设备评级</w:t>
            </w:r>
          </w:p>
        </w:tc>
        <w:tc>
          <w:tcPr>
            <w:tcW w:w="2403" w:type="dxa"/>
            <w:vMerge w:val="restart"/>
            <w:vAlign w:val="center"/>
          </w:tcPr>
          <w:p>
            <w:pPr>
              <w:widowControl/>
              <w:jc w:val="center"/>
              <w:rPr>
                <w:rFonts w:ascii="宋体"/>
                <w:kern w:val="0"/>
                <w:szCs w:val="21"/>
              </w:rPr>
            </w:pPr>
            <w:r>
              <w:rPr>
                <w:rFonts w:hint="eastAsia" w:ascii="宋体" w:hAnsi="宋体"/>
                <w:kern w:val="0"/>
                <w:szCs w:val="21"/>
              </w:rPr>
              <w:t>设施设备部分</w:t>
            </w:r>
          </w:p>
          <w:p>
            <w:pPr>
              <w:widowControl/>
              <w:jc w:val="center"/>
              <w:rPr>
                <w:rFonts w:ascii="宋体"/>
                <w:kern w:val="0"/>
                <w:szCs w:val="21"/>
              </w:rPr>
            </w:pPr>
            <w:r>
              <w:rPr>
                <w:rFonts w:hint="eastAsia" w:ascii="宋体" w:hAnsi="宋体"/>
                <w:kern w:val="0"/>
                <w:szCs w:val="21"/>
              </w:rPr>
              <w:t>评级</w:t>
            </w: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kern w:val="0"/>
                <w:szCs w:val="21"/>
              </w:rPr>
            </w:pPr>
            <w:r>
              <w:rPr>
                <w:rFonts w:hint="eastAsia" w:ascii="宋体" w:hAnsi="宋体"/>
                <w:kern w:val="0"/>
                <w:szCs w:val="21"/>
              </w:rPr>
              <w:t>电气设施设备评级</w:t>
            </w:r>
          </w:p>
        </w:tc>
        <w:tc>
          <w:tcPr>
            <w:tcW w:w="2403"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1"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741" w:type="dxa"/>
            <w:vAlign w:val="center"/>
          </w:tcPr>
          <w:p>
            <w:pPr>
              <w:widowControl/>
              <w:spacing w:line="360" w:lineRule="auto"/>
              <w:jc w:val="center"/>
              <w:rPr>
                <w:rFonts w:ascii="宋体" w:hAnsi="宋体"/>
                <w:kern w:val="0"/>
                <w:szCs w:val="21"/>
              </w:rPr>
            </w:pPr>
            <w:r>
              <w:rPr>
                <w:rFonts w:hint="eastAsia" w:ascii="宋体" w:hAnsi="宋体"/>
                <w:kern w:val="0"/>
                <w:szCs w:val="21"/>
              </w:rPr>
              <w:t>暖通设施设备评级</w:t>
            </w:r>
          </w:p>
        </w:tc>
        <w:tc>
          <w:tcPr>
            <w:tcW w:w="2403"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c>
          <w:tcPr>
            <w:tcW w:w="2507" w:type="dxa"/>
            <w:vMerge w:val="continue"/>
            <w:vAlign w:val="center"/>
          </w:tcPr>
          <w:p>
            <w:pPr>
              <w:keepNext/>
              <w:keepLines/>
              <w:widowControl/>
              <w:numPr>
                <w:ilvl w:val="0"/>
                <w:numId w:val="1"/>
              </w:numPr>
              <w:spacing w:before="200" w:after="160" w:line="360" w:lineRule="auto"/>
              <w:jc w:val="center"/>
              <w:outlineLvl w:val="0"/>
              <w:rPr>
                <w:rFonts w:ascii="宋体"/>
                <w:kern w:val="0"/>
                <w:szCs w:val="21"/>
              </w:rPr>
            </w:pPr>
          </w:p>
        </w:tc>
      </w:tr>
    </w:tbl>
    <w:p>
      <w:pPr>
        <w:pStyle w:val="4"/>
        <w:numPr>
          <w:ilvl w:val="0"/>
          <w:numId w:val="0"/>
        </w:numPr>
        <w:rPr>
          <w:kern w:val="0"/>
          <w:lang w:val="zh-CN"/>
        </w:rPr>
      </w:pPr>
      <w:r>
        <w:t>3.0.7</w:t>
      </w:r>
      <w:r>
        <w:rPr>
          <w:rFonts w:hint="eastAsia"/>
        </w:rPr>
        <w:t>房屋完损等级评级的各层次分级标准，应符合</w:t>
      </w:r>
      <w:r>
        <w:rPr>
          <w:rFonts w:hint="eastAsia"/>
          <w:kern w:val="0"/>
          <w:lang w:val="zh-CN"/>
        </w:rPr>
        <w:t>表</w:t>
      </w:r>
      <w:r>
        <w:rPr>
          <w:kern w:val="0"/>
          <w:lang w:val="zh-CN"/>
        </w:rPr>
        <w:t>3.0.7</w:t>
      </w:r>
      <w:r>
        <w:rPr>
          <w:rFonts w:hint="eastAsia"/>
          <w:kern w:val="0"/>
          <w:lang w:val="zh-CN"/>
        </w:rPr>
        <w:t>的规定。</w:t>
      </w:r>
    </w:p>
    <w:p>
      <w:pPr>
        <w:pStyle w:val="78"/>
      </w:pPr>
      <w:r>
        <w:rPr>
          <w:rFonts w:hint="eastAsia" w:cs="Times New Roman"/>
        </w:rPr>
        <w:t>表</w:t>
      </w:r>
      <w:r>
        <w:rPr>
          <w:rFonts w:cs="Times New Roman"/>
        </w:rPr>
        <w:t>3.0.</w:t>
      </w:r>
      <w:r>
        <w:rPr>
          <w:rFonts w:hint="eastAsia" w:cs="Times New Roman"/>
        </w:rPr>
        <w:t>7房屋</w:t>
      </w:r>
      <w:r>
        <w:rPr>
          <w:rFonts w:hint="eastAsia"/>
        </w:rPr>
        <w:t>完损等级评定各层次分级标准</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495"/>
        <w:gridCol w:w="1496"/>
        <w:gridCol w:w="3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Align w:val="center"/>
          </w:tcPr>
          <w:p>
            <w:pPr>
              <w:jc w:val="center"/>
              <w:rPr>
                <w:kern w:val="0"/>
                <w:sz w:val="21"/>
                <w:szCs w:val="21"/>
                <w:lang w:val="zh-CN"/>
              </w:rPr>
            </w:pPr>
            <w:r>
              <w:rPr>
                <w:kern w:val="0"/>
                <w:sz w:val="21"/>
                <w:szCs w:val="21"/>
                <w:lang w:val="zh-CN"/>
              </w:rPr>
              <w:t>层次</w:t>
            </w:r>
          </w:p>
        </w:tc>
        <w:tc>
          <w:tcPr>
            <w:tcW w:w="1495" w:type="dxa"/>
            <w:vAlign w:val="center"/>
          </w:tcPr>
          <w:p>
            <w:pPr>
              <w:jc w:val="center"/>
              <w:rPr>
                <w:kern w:val="0"/>
                <w:sz w:val="21"/>
                <w:szCs w:val="21"/>
                <w:lang w:val="zh-CN"/>
              </w:rPr>
            </w:pPr>
            <w:r>
              <w:rPr>
                <w:kern w:val="0"/>
                <w:sz w:val="21"/>
                <w:szCs w:val="21"/>
                <w:lang w:val="zh-CN"/>
              </w:rPr>
              <w:t>评定对象</w:t>
            </w:r>
          </w:p>
        </w:tc>
        <w:tc>
          <w:tcPr>
            <w:tcW w:w="1496" w:type="dxa"/>
            <w:vAlign w:val="center"/>
          </w:tcPr>
          <w:p>
            <w:pPr>
              <w:jc w:val="center"/>
              <w:rPr>
                <w:kern w:val="0"/>
                <w:sz w:val="21"/>
                <w:szCs w:val="21"/>
                <w:lang w:val="zh-CN"/>
              </w:rPr>
            </w:pPr>
            <w:r>
              <w:rPr>
                <w:kern w:val="0"/>
                <w:sz w:val="21"/>
                <w:szCs w:val="21"/>
                <w:lang w:val="zh-CN"/>
              </w:rPr>
              <w:t>等级</w:t>
            </w:r>
          </w:p>
        </w:tc>
        <w:tc>
          <w:tcPr>
            <w:tcW w:w="3919" w:type="dxa"/>
            <w:vAlign w:val="center"/>
          </w:tcPr>
          <w:p>
            <w:pPr>
              <w:jc w:val="center"/>
              <w:rPr>
                <w:kern w:val="0"/>
                <w:sz w:val="21"/>
                <w:szCs w:val="21"/>
                <w:lang w:val="zh-CN"/>
              </w:rPr>
            </w:pPr>
            <w:r>
              <w:rPr>
                <w:kern w:val="0"/>
                <w:sz w:val="21"/>
                <w:szCs w:val="21"/>
                <w:lang w:val="zh-CN"/>
              </w:rPr>
              <w:t>分级标准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restart"/>
            <w:vAlign w:val="center"/>
          </w:tcPr>
          <w:p>
            <w:pPr>
              <w:jc w:val="center"/>
              <w:rPr>
                <w:kern w:val="0"/>
                <w:sz w:val="21"/>
                <w:szCs w:val="21"/>
                <w:lang w:val="zh-CN"/>
              </w:rPr>
            </w:pPr>
            <w:r>
              <w:rPr>
                <w:kern w:val="0"/>
                <w:sz w:val="21"/>
                <w:szCs w:val="21"/>
                <w:lang w:val="zh-CN"/>
              </w:rPr>
              <w:t>一</w:t>
            </w:r>
          </w:p>
        </w:tc>
        <w:tc>
          <w:tcPr>
            <w:tcW w:w="1495" w:type="dxa"/>
            <w:vMerge w:val="restart"/>
            <w:vAlign w:val="center"/>
          </w:tcPr>
          <w:p>
            <w:pPr>
              <w:jc w:val="center"/>
              <w:rPr>
                <w:kern w:val="0"/>
                <w:sz w:val="21"/>
                <w:szCs w:val="21"/>
                <w:lang w:val="zh-CN"/>
              </w:rPr>
            </w:pPr>
            <w:r>
              <w:rPr>
                <w:kern w:val="0"/>
                <w:sz w:val="21"/>
                <w:szCs w:val="21"/>
                <w:lang w:val="zh-CN"/>
              </w:rPr>
              <w:t>子项</w:t>
            </w:r>
          </w:p>
        </w:tc>
        <w:tc>
          <w:tcPr>
            <w:tcW w:w="1496" w:type="dxa"/>
            <w:vAlign w:val="center"/>
          </w:tcPr>
          <w:p>
            <w:pPr>
              <w:jc w:val="center"/>
              <w:rPr>
                <w:kern w:val="0"/>
                <w:sz w:val="21"/>
                <w:szCs w:val="21"/>
                <w:lang w:val="zh-CN"/>
              </w:rPr>
            </w:pPr>
            <w:r>
              <w:rPr>
                <w:kern w:val="0"/>
                <w:sz w:val="20"/>
                <w:szCs w:val="21"/>
              </w:rPr>
              <w:fldChar w:fldCharType="begin"/>
            </w:r>
            <w:r>
              <w:rPr>
                <w:kern w:val="0"/>
                <w:sz w:val="21"/>
                <w:szCs w:val="21"/>
              </w:rPr>
              <w:instrText xml:space="preserve">= 1 \* GB3</w:instrText>
            </w:r>
            <w:r>
              <w:rPr>
                <w:kern w:val="0"/>
                <w:sz w:val="20"/>
                <w:szCs w:val="21"/>
              </w:rPr>
              <w:fldChar w:fldCharType="separate"/>
            </w:r>
            <w:r>
              <w:rPr>
                <w:kern w:val="0"/>
                <w:sz w:val="21"/>
                <w:szCs w:val="21"/>
              </w:rPr>
              <w:t>①</w:t>
            </w:r>
            <w:r>
              <w:rPr>
                <w:kern w:val="0"/>
                <w:sz w:val="20"/>
                <w:szCs w:val="21"/>
              </w:rPr>
              <w:fldChar w:fldCharType="end"/>
            </w:r>
            <w:r>
              <w:rPr>
                <w:kern w:val="0"/>
                <w:sz w:val="21"/>
                <w:szCs w:val="21"/>
              </w:rPr>
              <w:t>级</w:t>
            </w:r>
          </w:p>
        </w:tc>
        <w:tc>
          <w:tcPr>
            <w:tcW w:w="3919" w:type="dxa"/>
            <w:vAlign w:val="center"/>
          </w:tcPr>
          <w:p>
            <w:pPr>
              <w:jc w:val="center"/>
              <w:rPr>
                <w:kern w:val="0"/>
                <w:sz w:val="21"/>
                <w:szCs w:val="21"/>
                <w:lang w:val="zh-CN"/>
              </w:rPr>
            </w:pPr>
            <w:r>
              <w:rPr>
                <w:kern w:val="0"/>
                <w:sz w:val="21"/>
                <w:szCs w:val="21"/>
              </w:rPr>
              <w:t>符合正常使用的要求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jc w:val="center"/>
              <w:rPr>
                <w:kern w:val="0"/>
                <w:sz w:val="21"/>
                <w:szCs w:val="21"/>
                <w:lang w:val="zh-CN"/>
              </w:rPr>
            </w:pPr>
          </w:p>
        </w:tc>
        <w:tc>
          <w:tcPr>
            <w:tcW w:w="1495" w:type="dxa"/>
            <w:vMerge w:val="continue"/>
            <w:vAlign w:val="center"/>
          </w:tcPr>
          <w:p>
            <w:pPr>
              <w:jc w:val="center"/>
              <w:rPr>
                <w:kern w:val="0"/>
                <w:sz w:val="21"/>
                <w:szCs w:val="21"/>
                <w:lang w:val="zh-CN"/>
              </w:rPr>
            </w:pPr>
          </w:p>
        </w:tc>
        <w:tc>
          <w:tcPr>
            <w:tcW w:w="1496" w:type="dxa"/>
            <w:vAlign w:val="center"/>
          </w:tcPr>
          <w:p>
            <w:pPr>
              <w:jc w:val="center"/>
              <w:rPr>
                <w:kern w:val="0"/>
                <w:sz w:val="21"/>
                <w:szCs w:val="21"/>
                <w:lang w:val="zh-CN"/>
              </w:rPr>
            </w:pPr>
            <w:r>
              <w:rPr>
                <w:kern w:val="0"/>
                <w:sz w:val="21"/>
                <w:szCs w:val="21"/>
              </w:rPr>
              <w:t>②级</w:t>
            </w:r>
          </w:p>
        </w:tc>
        <w:tc>
          <w:tcPr>
            <w:tcW w:w="3919" w:type="dxa"/>
            <w:vAlign w:val="center"/>
          </w:tcPr>
          <w:p>
            <w:pPr>
              <w:jc w:val="center"/>
              <w:rPr>
                <w:kern w:val="0"/>
                <w:sz w:val="21"/>
                <w:szCs w:val="21"/>
                <w:lang w:val="zh-CN"/>
              </w:rPr>
            </w:pPr>
            <w:r>
              <w:rPr>
                <w:kern w:val="0"/>
                <w:sz w:val="21"/>
                <w:szCs w:val="21"/>
              </w:rPr>
              <w:t>基本符合正常使用的要求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jc w:val="center"/>
              <w:rPr>
                <w:kern w:val="0"/>
                <w:sz w:val="21"/>
                <w:szCs w:val="21"/>
                <w:lang w:val="zh-CN"/>
              </w:rPr>
            </w:pPr>
          </w:p>
        </w:tc>
        <w:tc>
          <w:tcPr>
            <w:tcW w:w="1495" w:type="dxa"/>
            <w:vMerge w:val="continue"/>
            <w:vAlign w:val="center"/>
          </w:tcPr>
          <w:p>
            <w:pPr>
              <w:jc w:val="center"/>
              <w:rPr>
                <w:kern w:val="0"/>
                <w:sz w:val="21"/>
                <w:szCs w:val="21"/>
                <w:lang w:val="zh-CN"/>
              </w:rPr>
            </w:pPr>
          </w:p>
        </w:tc>
        <w:tc>
          <w:tcPr>
            <w:tcW w:w="1496" w:type="dxa"/>
            <w:vAlign w:val="center"/>
          </w:tcPr>
          <w:p>
            <w:pPr>
              <w:jc w:val="center"/>
              <w:rPr>
                <w:kern w:val="0"/>
                <w:sz w:val="21"/>
                <w:szCs w:val="21"/>
                <w:lang w:val="zh-CN"/>
              </w:rPr>
            </w:pPr>
            <w:r>
              <w:rPr>
                <w:kern w:val="0"/>
                <w:sz w:val="21"/>
                <w:szCs w:val="21"/>
              </w:rPr>
              <w:t>③级</w:t>
            </w:r>
          </w:p>
        </w:tc>
        <w:tc>
          <w:tcPr>
            <w:tcW w:w="3919" w:type="dxa"/>
            <w:vAlign w:val="center"/>
          </w:tcPr>
          <w:p>
            <w:pPr>
              <w:jc w:val="center"/>
              <w:rPr>
                <w:kern w:val="0"/>
                <w:sz w:val="21"/>
                <w:szCs w:val="21"/>
                <w:lang w:val="zh-CN"/>
              </w:rPr>
            </w:pPr>
            <w:r>
              <w:rPr>
                <w:kern w:val="0"/>
                <w:sz w:val="21"/>
                <w:szCs w:val="21"/>
              </w:rPr>
              <w:t>影响正常使用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jc w:val="center"/>
              <w:rPr>
                <w:kern w:val="0"/>
                <w:sz w:val="21"/>
                <w:szCs w:val="21"/>
                <w:lang w:val="zh-CN"/>
              </w:rPr>
            </w:pPr>
          </w:p>
        </w:tc>
        <w:tc>
          <w:tcPr>
            <w:tcW w:w="1495" w:type="dxa"/>
            <w:vMerge w:val="continue"/>
            <w:vAlign w:val="center"/>
          </w:tcPr>
          <w:p>
            <w:pPr>
              <w:jc w:val="center"/>
              <w:rPr>
                <w:kern w:val="0"/>
                <w:sz w:val="21"/>
                <w:szCs w:val="21"/>
                <w:lang w:val="zh-CN"/>
              </w:rPr>
            </w:pPr>
          </w:p>
        </w:tc>
        <w:tc>
          <w:tcPr>
            <w:tcW w:w="1496" w:type="dxa"/>
            <w:vAlign w:val="center"/>
          </w:tcPr>
          <w:p>
            <w:pPr>
              <w:jc w:val="center"/>
              <w:rPr>
                <w:kern w:val="0"/>
                <w:sz w:val="21"/>
                <w:szCs w:val="21"/>
                <w:lang w:val="zh-CN"/>
              </w:rPr>
            </w:pPr>
            <w:r>
              <w:rPr>
                <w:kern w:val="0"/>
                <w:sz w:val="21"/>
                <w:szCs w:val="21"/>
              </w:rPr>
              <w:t>④级</w:t>
            </w:r>
          </w:p>
        </w:tc>
        <w:tc>
          <w:tcPr>
            <w:tcW w:w="3919" w:type="dxa"/>
            <w:vAlign w:val="center"/>
          </w:tcPr>
          <w:p>
            <w:pPr>
              <w:jc w:val="center"/>
              <w:rPr>
                <w:kern w:val="0"/>
                <w:sz w:val="21"/>
                <w:szCs w:val="21"/>
                <w:lang w:val="zh-CN"/>
              </w:rPr>
            </w:pPr>
            <w:r>
              <w:rPr>
                <w:kern w:val="0"/>
                <w:sz w:val="21"/>
                <w:szCs w:val="21"/>
              </w:rPr>
              <w:t>严重影响正常使用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restart"/>
            <w:vAlign w:val="center"/>
          </w:tcPr>
          <w:p>
            <w:pPr>
              <w:jc w:val="center"/>
              <w:rPr>
                <w:kern w:val="0"/>
                <w:sz w:val="21"/>
                <w:szCs w:val="21"/>
                <w:lang w:val="zh-CN"/>
              </w:rPr>
            </w:pPr>
            <w:r>
              <w:rPr>
                <w:kern w:val="0"/>
                <w:sz w:val="21"/>
                <w:szCs w:val="21"/>
                <w:lang w:val="zh-CN"/>
              </w:rPr>
              <w:t>二</w:t>
            </w:r>
          </w:p>
        </w:tc>
        <w:tc>
          <w:tcPr>
            <w:tcW w:w="1495" w:type="dxa"/>
            <w:vMerge w:val="restart"/>
            <w:vAlign w:val="center"/>
          </w:tcPr>
          <w:p>
            <w:pPr>
              <w:jc w:val="center"/>
              <w:rPr>
                <w:kern w:val="0"/>
                <w:sz w:val="21"/>
                <w:szCs w:val="21"/>
                <w:lang w:val="zh-CN"/>
              </w:rPr>
            </w:pPr>
            <w:r>
              <w:rPr>
                <w:rFonts w:hAnsi="宋体"/>
                <w:kern w:val="0"/>
                <w:sz w:val="21"/>
                <w:szCs w:val="21"/>
              </w:rPr>
              <w:t>分项</w:t>
            </w:r>
          </w:p>
        </w:tc>
        <w:tc>
          <w:tcPr>
            <w:tcW w:w="1496" w:type="dxa"/>
            <w:vAlign w:val="center"/>
          </w:tcPr>
          <w:p>
            <w:pPr>
              <w:jc w:val="center"/>
              <w:rPr>
                <w:kern w:val="0"/>
                <w:sz w:val="21"/>
                <w:szCs w:val="21"/>
                <w:lang w:val="zh-CN"/>
              </w:rPr>
            </w:pPr>
            <w:r>
              <w:rPr>
                <w:kern w:val="0"/>
                <w:sz w:val="21"/>
                <w:szCs w:val="21"/>
              </w:rPr>
              <w:t>1级</w:t>
            </w:r>
          </w:p>
        </w:tc>
        <w:tc>
          <w:tcPr>
            <w:tcW w:w="3919" w:type="dxa"/>
            <w:vAlign w:val="center"/>
          </w:tcPr>
          <w:p>
            <w:pPr>
              <w:jc w:val="center"/>
              <w:rPr>
                <w:kern w:val="0"/>
                <w:sz w:val="21"/>
                <w:szCs w:val="21"/>
                <w:lang w:val="zh-CN"/>
              </w:rPr>
            </w:pPr>
            <w:r>
              <w:rPr>
                <w:kern w:val="0"/>
                <w:sz w:val="21"/>
                <w:szCs w:val="21"/>
              </w:rPr>
              <w:t>符合正常使用的要求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jc w:val="center"/>
              <w:rPr>
                <w:kern w:val="0"/>
                <w:sz w:val="21"/>
                <w:szCs w:val="21"/>
                <w:lang w:val="zh-CN"/>
              </w:rPr>
            </w:pPr>
          </w:p>
        </w:tc>
        <w:tc>
          <w:tcPr>
            <w:tcW w:w="1495" w:type="dxa"/>
            <w:vMerge w:val="continue"/>
            <w:vAlign w:val="center"/>
          </w:tcPr>
          <w:p>
            <w:pPr>
              <w:jc w:val="center"/>
              <w:rPr>
                <w:kern w:val="0"/>
                <w:sz w:val="21"/>
                <w:szCs w:val="21"/>
                <w:lang w:val="zh-CN"/>
              </w:rPr>
            </w:pPr>
          </w:p>
        </w:tc>
        <w:tc>
          <w:tcPr>
            <w:tcW w:w="1496" w:type="dxa"/>
            <w:vAlign w:val="center"/>
          </w:tcPr>
          <w:p>
            <w:pPr>
              <w:jc w:val="center"/>
              <w:rPr>
                <w:kern w:val="0"/>
                <w:sz w:val="21"/>
                <w:szCs w:val="21"/>
                <w:lang w:val="zh-CN"/>
              </w:rPr>
            </w:pPr>
            <w:r>
              <w:rPr>
                <w:kern w:val="0"/>
                <w:sz w:val="21"/>
                <w:szCs w:val="21"/>
              </w:rPr>
              <w:t>2级</w:t>
            </w:r>
          </w:p>
        </w:tc>
        <w:tc>
          <w:tcPr>
            <w:tcW w:w="3919" w:type="dxa"/>
            <w:vAlign w:val="center"/>
          </w:tcPr>
          <w:p>
            <w:pPr>
              <w:jc w:val="center"/>
              <w:rPr>
                <w:kern w:val="0"/>
                <w:sz w:val="21"/>
                <w:szCs w:val="21"/>
                <w:lang w:val="zh-CN"/>
              </w:rPr>
            </w:pPr>
            <w:r>
              <w:rPr>
                <w:kern w:val="0"/>
                <w:sz w:val="21"/>
                <w:szCs w:val="21"/>
              </w:rPr>
              <w:t>基本符合正常使用的要求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jc w:val="center"/>
              <w:rPr>
                <w:kern w:val="0"/>
                <w:sz w:val="21"/>
                <w:szCs w:val="21"/>
                <w:lang w:val="zh-CN"/>
              </w:rPr>
            </w:pPr>
          </w:p>
        </w:tc>
        <w:tc>
          <w:tcPr>
            <w:tcW w:w="1495" w:type="dxa"/>
            <w:vMerge w:val="continue"/>
            <w:vAlign w:val="center"/>
          </w:tcPr>
          <w:p>
            <w:pPr>
              <w:jc w:val="center"/>
              <w:rPr>
                <w:kern w:val="0"/>
                <w:sz w:val="21"/>
                <w:szCs w:val="21"/>
                <w:lang w:val="zh-CN"/>
              </w:rPr>
            </w:pPr>
          </w:p>
        </w:tc>
        <w:tc>
          <w:tcPr>
            <w:tcW w:w="1496" w:type="dxa"/>
            <w:vAlign w:val="center"/>
          </w:tcPr>
          <w:p>
            <w:pPr>
              <w:jc w:val="center"/>
              <w:rPr>
                <w:kern w:val="0"/>
                <w:sz w:val="21"/>
                <w:szCs w:val="21"/>
                <w:lang w:val="zh-CN"/>
              </w:rPr>
            </w:pPr>
            <w:r>
              <w:rPr>
                <w:kern w:val="0"/>
                <w:sz w:val="21"/>
                <w:szCs w:val="21"/>
              </w:rPr>
              <w:t>3级</w:t>
            </w:r>
          </w:p>
        </w:tc>
        <w:tc>
          <w:tcPr>
            <w:tcW w:w="3919" w:type="dxa"/>
            <w:vAlign w:val="center"/>
          </w:tcPr>
          <w:p>
            <w:pPr>
              <w:jc w:val="center"/>
              <w:rPr>
                <w:kern w:val="0"/>
                <w:sz w:val="21"/>
                <w:szCs w:val="21"/>
                <w:lang w:val="zh-CN"/>
              </w:rPr>
            </w:pPr>
            <w:r>
              <w:rPr>
                <w:kern w:val="0"/>
                <w:sz w:val="21"/>
                <w:szCs w:val="21"/>
              </w:rPr>
              <w:t>影响正常使用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jc w:val="center"/>
              <w:rPr>
                <w:kern w:val="0"/>
                <w:sz w:val="21"/>
                <w:szCs w:val="21"/>
                <w:lang w:val="zh-CN"/>
              </w:rPr>
            </w:pPr>
          </w:p>
        </w:tc>
        <w:tc>
          <w:tcPr>
            <w:tcW w:w="1495" w:type="dxa"/>
            <w:vMerge w:val="continue"/>
            <w:vAlign w:val="center"/>
          </w:tcPr>
          <w:p>
            <w:pPr>
              <w:jc w:val="center"/>
              <w:rPr>
                <w:kern w:val="0"/>
                <w:sz w:val="21"/>
                <w:szCs w:val="21"/>
                <w:lang w:val="zh-CN"/>
              </w:rPr>
            </w:pPr>
          </w:p>
        </w:tc>
        <w:tc>
          <w:tcPr>
            <w:tcW w:w="1496" w:type="dxa"/>
            <w:vAlign w:val="center"/>
          </w:tcPr>
          <w:p>
            <w:pPr>
              <w:jc w:val="center"/>
              <w:rPr>
                <w:kern w:val="0"/>
                <w:sz w:val="21"/>
                <w:szCs w:val="21"/>
                <w:lang w:val="zh-CN"/>
              </w:rPr>
            </w:pPr>
            <w:r>
              <w:rPr>
                <w:kern w:val="0"/>
                <w:sz w:val="21"/>
                <w:szCs w:val="21"/>
              </w:rPr>
              <w:t>4级</w:t>
            </w:r>
          </w:p>
        </w:tc>
        <w:tc>
          <w:tcPr>
            <w:tcW w:w="3919" w:type="dxa"/>
            <w:vAlign w:val="center"/>
          </w:tcPr>
          <w:p>
            <w:pPr>
              <w:jc w:val="center"/>
              <w:rPr>
                <w:kern w:val="0"/>
                <w:sz w:val="21"/>
                <w:szCs w:val="21"/>
                <w:lang w:val="zh-CN"/>
              </w:rPr>
            </w:pPr>
            <w:r>
              <w:rPr>
                <w:kern w:val="0"/>
                <w:sz w:val="21"/>
                <w:szCs w:val="21"/>
              </w:rPr>
              <w:t>严重影响正常使用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restart"/>
            <w:vAlign w:val="center"/>
          </w:tcPr>
          <w:p>
            <w:pPr>
              <w:jc w:val="center"/>
              <w:rPr>
                <w:kern w:val="0"/>
                <w:sz w:val="21"/>
                <w:szCs w:val="21"/>
                <w:lang w:val="zh-CN"/>
              </w:rPr>
            </w:pPr>
            <w:r>
              <w:rPr>
                <w:kern w:val="0"/>
                <w:sz w:val="21"/>
                <w:szCs w:val="21"/>
                <w:lang w:val="zh-CN"/>
              </w:rPr>
              <w:t>三</w:t>
            </w:r>
          </w:p>
        </w:tc>
        <w:tc>
          <w:tcPr>
            <w:tcW w:w="1495" w:type="dxa"/>
            <w:vMerge w:val="restart"/>
            <w:vAlign w:val="center"/>
          </w:tcPr>
          <w:p>
            <w:pPr>
              <w:jc w:val="center"/>
              <w:rPr>
                <w:kern w:val="0"/>
                <w:sz w:val="21"/>
                <w:szCs w:val="21"/>
                <w:lang w:val="zh-CN"/>
              </w:rPr>
            </w:pPr>
            <w:r>
              <w:rPr>
                <w:rFonts w:hAnsi="宋体"/>
                <w:kern w:val="0"/>
                <w:sz w:val="21"/>
                <w:szCs w:val="21"/>
              </w:rPr>
              <w:t>评定单元</w:t>
            </w:r>
          </w:p>
        </w:tc>
        <w:tc>
          <w:tcPr>
            <w:tcW w:w="1496" w:type="dxa"/>
            <w:vAlign w:val="center"/>
          </w:tcPr>
          <w:p>
            <w:pPr>
              <w:jc w:val="center"/>
              <w:rPr>
                <w:kern w:val="0"/>
                <w:sz w:val="21"/>
                <w:szCs w:val="21"/>
                <w:lang w:val="zh-CN"/>
              </w:rPr>
            </w:pPr>
            <w:r>
              <w:rPr>
                <w:kern w:val="0"/>
                <w:sz w:val="21"/>
                <w:szCs w:val="21"/>
              </w:rPr>
              <w:t>一级</w:t>
            </w:r>
          </w:p>
        </w:tc>
        <w:tc>
          <w:tcPr>
            <w:tcW w:w="3919" w:type="dxa"/>
            <w:vAlign w:val="center"/>
          </w:tcPr>
          <w:p>
            <w:pPr>
              <w:jc w:val="center"/>
              <w:rPr>
                <w:kern w:val="0"/>
                <w:sz w:val="21"/>
                <w:szCs w:val="21"/>
                <w:lang w:val="zh-CN"/>
              </w:rPr>
            </w:pPr>
            <w:r>
              <w:rPr>
                <w:kern w:val="0"/>
                <w:sz w:val="21"/>
                <w:szCs w:val="21"/>
              </w:rPr>
              <w:t>符合正常使用的要求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rPr>
                <w:kern w:val="0"/>
                <w:sz w:val="21"/>
                <w:szCs w:val="21"/>
                <w:lang w:val="zh-CN"/>
              </w:rPr>
            </w:pPr>
          </w:p>
        </w:tc>
        <w:tc>
          <w:tcPr>
            <w:tcW w:w="1495" w:type="dxa"/>
            <w:vMerge w:val="continue"/>
            <w:vAlign w:val="center"/>
          </w:tcPr>
          <w:p>
            <w:pPr>
              <w:rPr>
                <w:kern w:val="0"/>
                <w:sz w:val="21"/>
                <w:szCs w:val="21"/>
                <w:lang w:val="zh-CN"/>
              </w:rPr>
            </w:pPr>
          </w:p>
        </w:tc>
        <w:tc>
          <w:tcPr>
            <w:tcW w:w="1496" w:type="dxa"/>
            <w:vAlign w:val="center"/>
          </w:tcPr>
          <w:p>
            <w:pPr>
              <w:jc w:val="center"/>
              <w:rPr>
                <w:kern w:val="0"/>
                <w:sz w:val="21"/>
                <w:szCs w:val="21"/>
                <w:lang w:val="zh-CN"/>
              </w:rPr>
            </w:pPr>
            <w:r>
              <w:rPr>
                <w:kern w:val="0"/>
                <w:sz w:val="21"/>
                <w:szCs w:val="21"/>
              </w:rPr>
              <w:t>二级</w:t>
            </w:r>
          </w:p>
        </w:tc>
        <w:tc>
          <w:tcPr>
            <w:tcW w:w="3919" w:type="dxa"/>
            <w:vAlign w:val="center"/>
          </w:tcPr>
          <w:p>
            <w:pPr>
              <w:jc w:val="center"/>
              <w:rPr>
                <w:kern w:val="0"/>
                <w:sz w:val="21"/>
                <w:szCs w:val="21"/>
                <w:lang w:val="zh-CN"/>
              </w:rPr>
            </w:pPr>
            <w:r>
              <w:rPr>
                <w:kern w:val="0"/>
                <w:sz w:val="21"/>
                <w:szCs w:val="21"/>
              </w:rPr>
              <w:t>基本符合正常使用的要求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rPr>
                <w:kern w:val="0"/>
                <w:sz w:val="21"/>
                <w:szCs w:val="21"/>
                <w:lang w:val="zh-CN"/>
              </w:rPr>
            </w:pPr>
          </w:p>
        </w:tc>
        <w:tc>
          <w:tcPr>
            <w:tcW w:w="1495" w:type="dxa"/>
            <w:vMerge w:val="continue"/>
            <w:vAlign w:val="center"/>
          </w:tcPr>
          <w:p>
            <w:pPr>
              <w:rPr>
                <w:kern w:val="0"/>
                <w:sz w:val="21"/>
                <w:szCs w:val="21"/>
                <w:lang w:val="zh-CN"/>
              </w:rPr>
            </w:pPr>
          </w:p>
        </w:tc>
        <w:tc>
          <w:tcPr>
            <w:tcW w:w="1496" w:type="dxa"/>
            <w:vAlign w:val="center"/>
          </w:tcPr>
          <w:p>
            <w:pPr>
              <w:jc w:val="center"/>
              <w:rPr>
                <w:kern w:val="0"/>
                <w:sz w:val="21"/>
                <w:szCs w:val="21"/>
                <w:lang w:val="zh-CN"/>
              </w:rPr>
            </w:pPr>
            <w:r>
              <w:rPr>
                <w:kern w:val="0"/>
                <w:sz w:val="21"/>
                <w:szCs w:val="21"/>
              </w:rPr>
              <w:t>三级</w:t>
            </w:r>
          </w:p>
        </w:tc>
        <w:tc>
          <w:tcPr>
            <w:tcW w:w="3919" w:type="dxa"/>
            <w:vAlign w:val="center"/>
          </w:tcPr>
          <w:p>
            <w:pPr>
              <w:jc w:val="center"/>
              <w:rPr>
                <w:kern w:val="0"/>
                <w:sz w:val="21"/>
                <w:szCs w:val="21"/>
                <w:lang w:val="zh-CN"/>
              </w:rPr>
            </w:pPr>
            <w:r>
              <w:rPr>
                <w:kern w:val="0"/>
                <w:sz w:val="21"/>
                <w:szCs w:val="21"/>
              </w:rPr>
              <w:t>影响正常使用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5" w:type="dxa"/>
            <w:vMerge w:val="continue"/>
            <w:vAlign w:val="center"/>
          </w:tcPr>
          <w:p>
            <w:pPr>
              <w:rPr>
                <w:kern w:val="0"/>
                <w:sz w:val="21"/>
                <w:szCs w:val="21"/>
                <w:lang w:val="zh-CN"/>
              </w:rPr>
            </w:pPr>
          </w:p>
        </w:tc>
        <w:tc>
          <w:tcPr>
            <w:tcW w:w="1495" w:type="dxa"/>
            <w:vMerge w:val="continue"/>
            <w:vAlign w:val="center"/>
          </w:tcPr>
          <w:p>
            <w:pPr>
              <w:rPr>
                <w:kern w:val="0"/>
                <w:sz w:val="21"/>
                <w:szCs w:val="21"/>
                <w:lang w:val="zh-CN"/>
              </w:rPr>
            </w:pPr>
          </w:p>
        </w:tc>
        <w:tc>
          <w:tcPr>
            <w:tcW w:w="1496" w:type="dxa"/>
            <w:vAlign w:val="center"/>
          </w:tcPr>
          <w:p>
            <w:pPr>
              <w:jc w:val="center"/>
              <w:rPr>
                <w:kern w:val="0"/>
                <w:sz w:val="21"/>
                <w:szCs w:val="21"/>
                <w:lang w:val="zh-CN"/>
              </w:rPr>
            </w:pPr>
            <w:r>
              <w:rPr>
                <w:kern w:val="0"/>
                <w:sz w:val="21"/>
                <w:szCs w:val="21"/>
              </w:rPr>
              <w:t>四级</w:t>
            </w:r>
          </w:p>
        </w:tc>
        <w:tc>
          <w:tcPr>
            <w:tcW w:w="3919" w:type="dxa"/>
            <w:vAlign w:val="center"/>
          </w:tcPr>
          <w:p>
            <w:pPr>
              <w:jc w:val="center"/>
              <w:rPr>
                <w:kern w:val="0"/>
                <w:sz w:val="21"/>
                <w:szCs w:val="21"/>
                <w:lang w:val="zh-CN"/>
              </w:rPr>
            </w:pPr>
            <w:r>
              <w:rPr>
                <w:kern w:val="0"/>
                <w:sz w:val="21"/>
                <w:szCs w:val="21"/>
              </w:rPr>
              <w:t>严重影响正常使用</w:t>
            </w:r>
          </w:p>
        </w:tc>
      </w:tr>
    </w:tbl>
    <w:p>
      <w:pPr>
        <w:rPr>
          <w:color w:val="FF0000"/>
          <w:lang w:val="zh-CN"/>
        </w:rPr>
      </w:pPr>
    </w:p>
    <w:p>
      <w:pPr>
        <w:rPr>
          <w:lang w:val="zh-CN"/>
        </w:rPr>
      </w:pPr>
    </w:p>
    <w:p>
      <w:pPr>
        <w:rPr>
          <w:lang w:val="zh-CN"/>
        </w:rPr>
      </w:pPr>
    </w:p>
    <w:p>
      <w:pPr>
        <w:pStyle w:val="89"/>
      </w:pPr>
    </w:p>
    <w:p>
      <w:pPr>
        <w:pStyle w:val="74"/>
      </w:pPr>
    </w:p>
    <w:p>
      <w:pPr>
        <w:pStyle w:val="74"/>
        <w:sectPr>
          <w:pgSz w:w="11906" w:h="16838"/>
          <w:pgMar w:top="1440" w:right="1800" w:bottom="1440" w:left="1800" w:header="851" w:footer="992" w:gutter="0"/>
          <w:cols w:space="425" w:num="1"/>
          <w:docGrid w:type="lines" w:linePitch="312" w:charSpace="0"/>
        </w:sectPr>
      </w:pPr>
    </w:p>
    <w:p>
      <w:pPr>
        <w:pStyle w:val="2"/>
        <w:keepNext w:val="0"/>
        <w:rPr>
          <w:rFonts w:ascii="宋体" w:hAnsi="宋体" w:eastAsia="宋体"/>
          <w:sz w:val="30"/>
          <w:szCs w:val="30"/>
          <w:lang w:val="zh-CN"/>
        </w:rPr>
      </w:pPr>
      <w:bookmarkStart w:id="58" w:name="_Toc42149906"/>
      <w:bookmarkStart w:id="59" w:name="_Toc36906673"/>
      <w:bookmarkStart w:id="60" w:name="_Toc42149868"/>
      <w:bookmarkStart w:id="61" w:name="_Toc36905704"/>
      <w:r>
        <w:rPr>
          <w:rFonts w:hint="eastAsia" w:ascii="宋体" w:hAnsi="宋体" w:eastAsia="宋体"/>
          <w:sz w:val="30"/>
          <w:szCs w:val="30"/>
          <w:lang w:val="zh-CN"/>
        </w:rPr>
        <w:t>子项完损等级评定</w:t>
      </w:r>
      <w:bookmarkEnd w:id="58"/>
      <w:bookmarkEnd w:id="59"/>
      <w:bookmarkEnd w:id="60"/>
      <w:bookmarkEnd w:id="61"/>
    </w:p>
    <w:p>
      <w:pPr>
        <w:pStyle w:val="3"/>
        <w:numPr>
          <w:ilvl w:val="1"/>
          <w:numId w:val="1"/>
        </w:numPr>
        <w:ind w:left="0" w:firstLine="0"/>
        <w:rPr>
          <w:rFonts w:eastAsiaTheme="minorEastAsia"/>
        </w:rPr>
      </w:pPr>
      <w:r>
        <w:rPr>
          <w:rFonts w:eastAsiaTheme="minorEastAsia"/>
        </w:rPr>
        <w:t>一般规定</w:t>
      </w:r>
    </w:p>
    <w:p>
      <w:pPr>
        <w:pStyle w:val="4"/>
        <w:numPr>
          <w:ilvl w:val="2"/>
          <w:numId w:val="1"/>
        </w:numPr>
        <w:ind w:left="0" w:firstLine="0"/>
        <w:rPr>
          <w:kern w:val="0"/>
          <w:lang w:val="zh-CN"/>
        </w:rPr>
      </w:pPr>
      <w:bookmarkStart w:id="62" w:name="_Toc36905710"/>
      <w:bookmarkStart w:id="63" w:name="_Toc36199848"/>
      <w:bookmarkStart w:id="64" w:name="_Toc42149874"/>
      <w:bookmarkStart w:id="65" w:name="_Toc36906679"/>
      <w:bookmarkStart w:id="66" w:name="_Toc42149912"/>
      <w:r>
        <w:rPr>
          <w:rFonts w:hint="eastAsia"/>
          <w:kern w:val="0"/>
          <w:lang w:val="zh-CN"/>
        </w:rPr>
        <w:t>子项完损等级评定应根据检查项目的损坏程度和损坏数量综合评定。</w:t>
      </w:r>
    </w:p>
    <w:p>
      <w:pPr>
        <w:pStyle w:val="4"/>
        <w:numPr>
          <w:ilvl w:val="2"/>
          <w:numId w:val="1"/>
        </w:numPr>
        <w:ind w:left="0" w:firstLine="0"/>
        <w:rPr>
          <w:kern w:val="0"/>
          <w:lang w:val="zh-CN"/>
        </w:rPr>
      </w:pPr>
      <w:r>
        <w:rPr>
          <w:rFonts w:hint="eastAsia"/>
          <w:kern w:val="0"/>
          <w:lang w:val="zh-CN"/>
        </w:rPr>
        <w:t>检查项目中损坏构件的数量占构件总数的比例可用“个别、少量、多处”表示，检查项目中损坏部分的面积占总面积的比例可用“局部、部分、大面积”表示。“个别、局部”表示占比小于5%，“少量、部分”表示占比在5%~30%之间，“多处、大面积”表示占比大于30%。</w:t>
      </w:r>
    </w:p>
    <w:p>
      <w:pPr>
        <w:pStyle w:val="4"/>
        <w:numPr>
          <w:ilvl w:val="2"/>
          <w:numId w:val="1"/>
        </w:numPr>
        <w:ind w:left="0" w:firstLine="0"/>
        <w:rPr>
          <w:kern w:val="0"/>
          <w:lang w:val="zh-CN"/>
        </w:rPr>
      </w:pPr>
      <w:r>
        <w:rPr>
          <w:rFonts w:hint="eastAsia"/>
          <w:kern w:val="0"/>
          <w:lang w:val="zh-CN"/>
        </w:rPr>
        <w:t>检查项目中构件的损坏程度可用“轻微、明显、严重”表示，“轻微”表示损伤很轻，可不采取维修措施；“明显”表示损伤对构件外观或使用功能已造成一定影响，但可通过日常养护、小修恢复其使用功能；“严重”表示损伤较重，通过日常养护、小修已无法恢复其使用功能。</w:t>
      </w:r>
    </w:p>
    <w:p>
      <w:pPr>
        <w:pStyle w:val="3"/>
        <w:numPr>
          <w:ilvl w:val="1"/>
          <w:numId w:val="1"/>
        </w:numPr>
        <w:ind w:left="0" w:firstLine="0"/>
        <w:rPr>
          <w:rFonts w:eastAsiaTheme="minorEastAsia"/>
        </w:rPr>
      </w:pPr>
      <w:bookmarkStart w:id="67" w:name="_Toc36199843"/>
      <w:bookmarkStart w:id="68" w:name="_Toc36905705"/>
      <w:bookmarkStart w:id="69" w:name="_Toc36906674"/>
      <w:bookmarkStart w:id="70" w:name="_Toc527044550"/>
      <w:bookmarkStart w:id="71" w:name="_Toc42149907"/>
      <w:bookmarkStart w:id="72" w:name="_Toc42149869"/>
      <w:bookmarkStart w:id="73" w:name="_Toc488307146"/>
      <w:bookmarkStart w:id="74" w:name="_Toc488307145"/>
      <w:bookmarkStart w:id="75" w:name="_Toc32423061"/>
      <w:bookmarkStart w:id="76" w:name="_Toc32420441"/>
      <w:r>
        <w:rPr>
          <w:rFonts w:hint="eastAsia" w:eastAsiaTheme="minorEastAsia"/>
        </w:rPr>
        <w:t>屋面</w:t>
      </w:r>
      <w:bookmarkEnd w:id="67"/>
      <w:bookmarkEnd w:id="68"/>
      <w:bookmarkEnd w:id="69"/>
      <w:bookmarkEnd w:id="70"/>
      <w:bookmarkEnd w:id="71"/>
      <w:bookmarkEnd w:id="72"/>
    </w:p>
    <w:p>
      <w:pPr>
        <w:pStyle w:val="4"/>
        <w:numPr>
          <w:ilvl w:val="2"/>
          <w:numId w:val="1"/>
        </w:numPr>
        <w:ind w:left="0" w:firstLine="0"/>
        <w:rPr>
          <w:kern w:val="0"/>
          <w:lang w:val="zh-CN"/>
        </w:rPr>
      </w:pPr>
      <w:bookmarkStart w:id="77" w:name="_Toc509680655"/>
      <w:bookmarkStart w:id="78" w:name="_Toc527044551"/>
      <w:r>
        <w:rPr>
          <w:rFonts w:hint="eastAsia"/>
          <w:kern w:val="0"/>
          <w:lang w:val="zh-CN"/>
        </w:rPr>
        <w:t>平屋面完损状况检查应包括下列主要内容：</w:t>
      </w:r>
    </w:p>
    <w:p>
      <w:pPr>
        <w:pStyle w:val="74"/>
        <w:rPr>
          <w:rFonts w:cs="Times New Roman"/>
        </w:rPr>
      </w:pPr>
      <w:r>
        <w:rPr>
          <w:rFonts w:cs="Times New Roman"/>
        </w:rPr>
        <w:t>1 屋面的渗漏情况；</w:t>
      </w:r>
    </w:p>
    <w:p>
      <w:pPr>
        <w:pStyle w:val="74"/>
        <w:rPr>
          <w:rFonts w:cs="Times New Roman"/>
        </w:rPr>
      </w:pPr>
      <w:r>
        <w:rPr>
          <w:rFonts w:cs="Times New Roman"/>
        </w:rPr>
        <w:t>2 屋面排水系统损坏情况；</w:t>
      </w:r>
    </w:p>
    <w:p>
      <w:pPr>
        <w:pStyle w:val="74"/>
        <w:rPr>
          <w:rFonts w:cs="Times New Roman"/>
        </w:rPr>
      </w:pPr>
      <w:r>
        <w:rPr>
          <w:rFonts w:cs="Times New Roman"/>
        </w:rPr>
        <w:t>3 屋面面层及保温隔热层的开裂空鼓等损坏情况；</w:t>
      </w:r>
    </w:p>
    <w:p>
      <w:pPr>
        <w:pStyle w:val="74"/>
        <w:rPr>
          <w:rFonts w:cs="Times New Roman"/>
        </w:rPr>
      </w:pPr>
      <w:r>
        <w:rPr>
          <w:rFonts w:cs="Times New Roman"/>
        </w:rPr>
        <w:t>4 女儿墙、烟囱等屋面附属构件损坏情况；</w:t>
      </w:r>
    </w:p>
    <w:p>
      <w:pPr>
        <w:pStyle w:val="74"/>
        <w:rPr>
          <w:rFonts w:cs="Times New Roman"/>
        </w:rPr>
      </w:pPr>
      <w:r>
        <w:rPr>
          <w:rFonts w:cs="Times New Roman"/>
        </w:rPr>
        <w:t>5变形缝损坏情况。</w:t>
      </w:r>
    </w:p>
    <w:p>
      <w:pPr>
        <w:pStyle w:val="4"/>
        <w:numPr>
          <w:ilvl w:val="2"/>
          <w:numId w:val="1"/>
        </w:numPr>
        <w:ind w:left="0" w:firstLine="0"/>
        <w:rPr>
          <w:kern w:val="0"/>
          <w:lang w:val="zh-CN"/>
        </w:rPr>
      </w:pPr>
      <w:r>
        <w:rPr>
          <w:kern w:val="0"/>
          <w:lang w:val="zh-CN"/>
        </w:rPr>
        <w:t>坡屋面完损状况检查</w:t>
      </w:r>
      <w:r>
        <w:rPr>
          <w:rFonts w:hint="eastAsia"/>
          <w:kern w:val="0"/>
          <w:lang w:val="zh-CN"/>
        </w:rPr>
        <w:t>应包括下列主要</w:t>
      </w:r>
      <w:r>
        <w:rPr>
          <w:kern w:val="0"/>
          <w:lang w:val="zh-CN"/>
        </w:rPr>
        <w:t>内容：</w:t>
      </w:r>
    </w:p>
    <w:p>
      <w:pPr>
        <w:pStyle w:val="74"/>
      </w:pPr>
      <w:r>
        <w:rPr>
          <w:rFonts w:hint="eastAsia"/>
        </w:rPr>
        <w:t>1 屋面的渗漏情况；</w:t>
      </w:r>
    </w:p>
    <w:p>
      <w:pPr>
        <w:pStyle w:val="74"/>
      </w:pPr>
      <w:r>
        <w:rPr>
          <w:rFonts w:hint="eastAsia"/>
        </w:rPr>
        <w:t>2 屋面变形情况；</w:t>
      </w:r>
    </w:p>
    <w:p>
      <w:pPr>
        <w:pStyle w:val="74"/>
      </w:pPr>
      <w:r>
        <w:rPr>
          <w:rFonts w:hint="eastAsia"/>
        </w:rPr>
        <w:t>3 屋面排水系统损坏情况；</w:t>
      </w:r>
    </w:p>
    <w:p>
      <w:pPr>
        <w:pStyle w:val="74"/>
      </w:pPr>
      <w:r>
        <w:rPr>
          <w:rFonts w:hint="eastAsia"/>
        </w:rPr>
        <w:t>4 天窗损坏情况；</w:t>
      </w:r>
    </w:p>
    <w:p>
      <w:pPr>
        <w:pStyle w:val="74"/>
      </w:pPr>
      <w:r>
        <w:rPr>
          <w:rFonts w:hint="eastAsia"/>
        </w:rPr>
        <w:t>5 烟囱、古建筑屋顶仙人走兽等屋面附属构件损坏情况；</w:t>
      </w:r>
    </w:p>
    <w:p>
      <w:pPr>
        <w:pStyle w:val="74"/>
      </w:pPr>
      <w:r>
        <w:rPr>
          <w:rFonts w:hint="eastAsia"/>
        </w:rPr>
        <w:t>6 金属屋面的锈蚀情况；</w:t>
      </w:r>
    </w:p>
    <w:p>
      <w:pPr>
        <w:pStyle w:val="74"/>
      </w:pPr>
      <w:r>
        <w:rPr>
          <w:rFonts w:hint="eastAsia"/>
        </w:rPr>
        <w:t>7 瓦屋面屋脊、瓦片、望砖、望板等损坏情况；</w:t>
      </w:r>
    </w:p>
    <w:p>
      <w:pPr>
        <w:pStyle w:val="74"/>
        <w:rPr>
          <w:rFonts w:cs="Times New Roman"/>
        </w:rPr>
      </w:pPr>
      <w:r>
        <w:rPr>
          <w:rFonts w:hint="eastAsia" w:cs="Times New Roman"/>
        </w:rPr>
        <w:t xml:space="preserve">8 </w:t>
      </w:r>
      <w:r>
        <w:rPr>
          <w:rFonts w:cs="Times New Roman"/>
        </w:rPr>
        <w:t>屋檐开裂、朽烂情况</w:t>
      </w:r>
      <w:r>
        <w:rPr>
          <w:rFonts w:hint="eastAsia" w:cs="Times New Roman"/>
        </w:rPr>
        <w:t>；</w:t>
      </w:r>
    </w:p>
    <w:p>
      <w:pPr>
        <w:pStyle w:val="74"/>
        <w:rPr>
          <w:rFonts w:cs="Times New Roman"/>
        </w:rPr>
      </w:pPr>
      <w:r>
        <w:rPr>
          <w:rFonts w:hint="eastAsia" w:cs="Times New Roman"/>
        </w:rPr>
        <w:t>9 各种出线、泛水起壳开裂情况</w:t>
      </w:r>
      <w:r>
        <w:rPr>
          <w:rFonts w:hint="eastAsia"/>
        </w:rPr>
        <w:t>。</w:t>
      </w:r>
    </w:p>
    <w:bookmarkEnd w:id="73"/>
    <w:bookmarkEnd w:id="74"/>
    <w:bookmarkEnd w:id="77"/>
    <w:bookmarkEnd w:id="78"/>
    <w:p>
      <w:pPr>
        <w:pStyle w:val="4"/>
        <w:numPr>
          <w:ilvl w:val="2"/>
          <w:numId w:val="1"/>
        </w:numPr>
        <w:ind w:left="0" w:firstLine="0"/>
        <w:rPr>
          <w:kern w:val="0"/>
          <w:lang w:val="zh-CN"/>
        </w:rPr>
      </w:pPr>
      <w:bookmarkStart w:id="79" w:name="_Toc528044150"/>
      <w:bookmarkStart w:id="80" w:name="_Toc488307147"/>
      <w:bookmarkStart w:id="81" w:name="_Toc527636603"/>
      <w:bookmarkStart w:id="82" w:name="_Toc510594332"/>
      <w:r>
        <w:rPr>
          <w:rFonts w:hint="eastAsia"/>
          <w:kern w:val="0"/>
          <w:lang w:val="zh-CN"/>
        </w:rPr>
        <w:t>屋面完损等级应按表4.2.3评定。</w:t>
      </w:r>
    </w:p>
    <w:p>
      <w:pPr>
        <w:pStyle w:val="78"/>
        <w:rPr>
          <w:kern w:val="0"/>
        </w:rPr>
      </w:pPr>
      <w:r>
        <w:rPr>
          <w:rFonts w:hint="eastAsia"/>
          <w:kern w:val="0"/>
        </w:rPr>
        <w:t>表</w:t>
      </w:r>
      <w:r>
        <w:rPr>
          <w:kern w:val="0"/>
        </w:rPr>
        <w:t>4.</w:t>
      </w:r>
      <w:r>
        <w:rPr>
          <w:rFonts w:hint="eastAsia"/>
          <w:kern w:val="0"/>
        </w:rPr>
        <w:t>2.3屋面完损等级评定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704"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屋面平整，无渗漏，排水通畅，天沟、泛水、雨水管等排水构件无损坏，面层及保温隔热层无开裂、空鼓，脊瓦无松动破损，瓦片无破碎、风化，各种出线、泛水无起壳开裂，顺水条、挂瓦条、椽子、木屋面板、木望板无腐朽、蛀蚀，天窗无变形，屋檐、女儿墙、烟囱、仙人走兽等附属构件无开裂，变形缝盖板无挤压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704" w:type="dxa"/>
            <w:vAlign w:val="center"/>
          </w:tcPr>
          <w:p>
            <w:pPr>
              <w:ind w:firstLine="420" w:firstLineChars="200"/>
              <w:rPr>
                <w:rFonts w:ascii="宋体" w:hAnsi="宋体"/>
                <w:bCs/>
                <w:kern w:val="0"/>
                <w:szCs w:val="21"/>
                <w:lang w:val="zh-CN"/>
              </w:rPr>
            </w:pPr>
            <w:r>
              <w:rPr>
                <w:rFonts w:hint="eastAsia" w:ascii="宋体" w:hAnsi="宋体"/>
                <w:bCs/>
                <w:kern w:val="0"/>
                <w:szCs w:val="21"/>
                <w:lang w:val="zh-CN"/>
              </w:rPr>
              <w:t>屋面平整，脊瓦无松动破损，顺水条、挂瓦条、椽子、木屋面板、木望板无腐朽、蛀蚀，天窗无变形，屋檐、女儿墙、烟囱、仙人走兽等附属构件无开裂，变形缝盖板无挤压变形</w:t>
            </w:r>
          </w:p>
          <w:p>
            <w:pPr>
              <w:ind w:firstLine="420" w:firstLineChars="200"/>
              <w:rPr>
                <w:rFonts w:ascii="宋体"/>
                <w:bCs/>
                <w:kern w:val="0"/>
                <w:szCs w:val="21"/>
                <w:lang w:val="zh-CN"/>
              </w:rPr>
            </w:pPr>
            <w:r>
              <w:rPr>
                <w:rFonts w:hint="eastAsia" w:ascii="宋体" w:hAnsi="宋体"/>
                <w:bCs/>
                <w:kern w:val="0"/>
                <w:szCs w:val="21"/>
                <w:lang w:val="zh-CN"/>
              </w:rPr>
              <w:t>屋面局部渗漏但无严重渗漏点，或天沟、泛水、雨水管等排水构件个别损坏，或面层及保温隔热层局部开裂、空鼓，或垃圾堆积导致排水不畅,或个别瓦片破碎缺角，或各种出线、泛水轻微起壳开裂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屋面不平，或部分渗漏或虽局部渗漏但有严重渗漏点，或排水不畅，或天沟、泛水、雨水管等排水构件少量破损，或面层及保温隔热层部分开裂、空鼓，或少量瓦片破碎、风化，或个别脊瓦松动破损，或个别或少量望砖破损、风化，或个别或</w:t>
            </w:r>
            <w:r>
              <w:rPr>
                <w:rFonts w:hint="eastAsia" w:ascii="宋体" w:hAnsi="宋体"/>
                <w:bCs/>
                <w:kern w:val="0"/>
                <w:szCs w:val="21"/>
              </w:rPr>
              <w:t>少量</w:t>
            </w:r>
            <w:r>
              <w:rPr>
                <w:rFonts w:hint="eastAsia" w:ascii="宋体" w:hAnsi="宋体"/>
                <w:bCs/>
                <w:kern w:val="0"/>
                <w:szCs w:val="21"/>
                <w:lang w:val="zh-CN"/>
              </w:rPr>
              <w:t>顺水条、挂瓦条、椽子、木屋面板、木望板腐朽、蛀蚀，或天窗变形、开关不畅，或女儿墙、烟囱、仙人走兽等附属构件开裂，或屋檐开裂，或各种出线、泛水明显起壳开裂，或变形缝盖板挤压变形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屋面凹陷，或大面积渗漏，或排水系统严重堵塞，或天沟、泛水、雨水管等排水构件多处破损，或面层及保温隔热层大面积开裂、空鼓、脱落，或多处瓦片破损、缺失，或多处望砖破损、风化，或多处顺水条、挂瓦条、椽子、木屋面板、木望板腐朽、蛀蚀，或金属屋面严重锈蚀，或多处出线、泛水严重起壳开裂</w:t>
            </w:r>
          </w:p>
        </w:tc>
      </w:tr>
    </w:tbl>
    <w:p>
      <w:pPr>
        <w:pStyle w:val="3"/>
        <w:numPr>
          <w:ilvl w:val="1"/>
          <w:numId w:val="1"/>
        </w:numPr>
        <w:ind w:left="0" w:firstLine="0"/>
        <w:rPr>
          <w:rFonts w:eastAsiaTheme="minorEastAsia"/>
        </w:rPr>
      </w:pPr>
      <w:bookmarkStart w:id="83" w:name="_Toc42149908"/>
      <w:bookmarkStart w:id="84" w:name="_Toc36199844"/>
      <w:bookmarkStart w:id="85" w:name="_Toc36905706"/>
      <w:bookmarkStart w:id="86" w:name="_Toc42149870"/>
      <w:bookmarkStart w:id="87" w:name="_Toc36906675"/>
      <w:r>
        <w:rPr>
          <w:rFonts w:hint="eastAsia" w:eastAsiaTheme="minorEastAsia"/>
        </w:rPr>
        <w:t>外立面</w:t>
      </w:r>
      <w:bookmarkEnd w:id="79"/>
      <w:bookmarkEnd w:id="83"/>
      <w:bookmarkEnd w:id="84"/>
      <w:bookmarkEnd w:id="85"/>
      <w:bookmarkEnd w:id="86"/>
      <w:bookmarkEnd w:id="87"/>
    </w:p>
    <w:p>
      <w:pPr>
        <w:pStyle w:val="4"/>
        <w:numPr>
          <w:ilvl w:val="2"/>
          <w:numId w:val="1"/>
        </w:numPr>
        <w:ind w:left="0" w:firstLine="0"/>
        <w:rPr>
          <w:kern w:val="0"/>
          <w:lang w:val="zh-CN"/>
        </w:rPr>
      </w:pPr>
      <w:bookmarkStart w:id="88" w:name="_Toc509680656"/>
      <w:r>
        <w:rPr>
          <w:rFonts w:hint="eastAsia"/>
          <w:kern w:val="0"/>
          <w:lang w:val="zh-CN"/>
        </w:rPr>
        <w:t>普通外墙饰面完损状况检查应包括下列主要内容：</w:t>
      </w:r>
    </w:p>
    <w:p>
      <w:pPr>
        <w:pStyle w:val="74"/>
      </w:pPr>
      <w:r>
        <w:rPr>
          <w:rFonts w:hint="eastAsia"/>
        </w:rPr>
        <w:t>1 墙面渗漏情况；</w:t>
      </w:r>
    </w:p>
    <w:p>
      <w:pPr>
        <w:pStyle w:val="74"/>
      </w:pPr>
      <w:r>
        <w:rPr>
          <w:rFonts w:hint="eastAsia"/>
        </w:rPr>
        <w:t>2 外立面涂装起皮、脱落，清水墙面开裂、风化，抹灰或其他饰面层空鼓、开裂、粉化、剥落、石材掉角等损坏情况。</w:t>
      </w:r>
    </w:p>
    <w:p>
      <w:pPr>
        <w:pStyle w:val="4"/>
        <w:numPr>
          <w:ilvl w:val="2"/>
          <w:numId w:val="1"/>
        </w:numPr>
        <w:ind w:left="0" w:firstLine="0"/>
        <w:rPr>
          <w:kern w:val="0"/>
          <w:lang w:val="zh-CN"/>
        </w:rPr>
      </w:pPr>
      <w:r>
        <w:rPr>
          <w:rFonts w:hint="eastAsia"/>
          <w:kern w:val="0"/>
          <w:lang w:val="zh-CN"/>
        </w:rPr>
        <w:t>建筑幕墙完损状况检查应包括下列主要内容：</w:t>
      </w:r>
    </w:p>
    <w:p>
      <w:pPr>
        <w:pStyle w:val="74"/>
      </w:pPr>
      <w:r>
        <w:rPr>
          <w:rFonts w:hint="eastAsia"/>
        </w:rPr>
        <w:t>1幕墙面板及节点部位渗漏情况；</w:t>
      </w:r>
    </w:p>
    <w:p>
      <w:pPr>
        <w:pStyle w:val="74"/>
      </w:pPr>
      <w:r>
        <w:rPr>
          <w:rFonts w:hint="eastAsia"/>
        </w:rPr>
        <w:t>2面板材料碎裂、掉角、脱落、变形等表观损坏情况；</w:t>
      </w:r>
    </w:p>
    <w:p>
      <w:pPr>
        <w:pStyle w:val="74"/>
      </w:pPr>
      <w:r>
        <w:rPr>
          <w:rFonts w:hint="eastAsia"/>
        </w:rPr>
        <w:t>3五金件（包括埋件）锈蚀变形或缺失情况；</w:t>
      </w:r>
    </w:p>
    <w:p>
      <w:pPr>
        <w:pStyle w:val="74"/>
      </w:pPr>
      <w:r>
        <w:rPr>
          <w:rFonts w:hint="eastAsia"/>
        </w:rPr>
        <w:t>4胶体老化情况。</w:t>
      </w:r>
    </w:p>
    <w:p>
      <w:pPr>
        <w:pStyle w:val="4"/>
        <w:numPr>
          <w:ilvl w:val="2"/>
          <w:numId w:val="1"/>
        </w:numPr>
        <w:ind w:left="0" w:firstLine="0"/>
        <w:rPr>
          <w:kern w:val="0"/>
          <w:lang w:val="zh-CN"/>
        </w:rPr>
      </w:pPr>
      <w:r>
        <w:rPr>
          <w:rFonts w:hint="eastAsia"/>
          <w:kern w:val="0"/>
          <w:lang w:val="zh-CN"/>
        </w:rPr>
        <w:t>外立面完损等级应按表4.3.3进行评定。</w:t>
      </w:r>
    </w:p>
    <w:p>
      <w:pPr>
        <w:pStyle w:val="78"/>
        <w:rPr>
          <w:kern w:val="0"/>
        </w:rPr>
      </w:pPr>
      <w:r>
        <w:rPr>
          <w:rFonts w:hint="eastAsia"/>
          <w:kern w:val="0"/>
        </w:rPr>
        <w:t>表</w:t>
      </w:r>
      <w:r>
        <w:rPr>
          <w:kern w:val="0"/>
        </w:rPr>
        <w:t>4.</w:t>
      </w:r>
      <w:r>
        <w:rPr>
          <w:rFonts w:hint="eastAsia"/>
          <w:kern w:val="0"/>
        </w:rPr>
        <w:t>3</w:t>
      </w:r>
      <w:r>
        <w:rPr>
          <w:kern w:val="0"/>
        </w:rPr>
        <w:t>.</w:t>
      </w:r>
      <w:r>
        <w:rPr>
          <w:rFonts w:hint="eastAsia"/>
          <w:kern w:val="0"/>
        </w:rPr>
        <w:t>3 外立面完损等级评定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704"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墙面无渗漏，清水墙面无开裂、风化，抹灰或其他饰面层无空鼓、开裂、剥落，墙面涂装无起皮、脱落，幕墙面板材料无碎裂、缺损、变形、锈蚀，五金件完整，胶体未老化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704" w:type="dxa"/>
            <w:vAlign w:val="center"/>
          </w:tcPr>
          <w:p>
            <w:pPr>
              <w:ind w:firstLine="420" w:firstLineChars="200"/>
              <w:rPr>
                <w:rFonts w:ascii="宋体" w:hAnsi="宋体"/>
                <w:bCs/>
                <w:kern w:val="0"/>
                <w:szCs w:val="21"/>
                <w:lang w:val="zh-CN"/>
              </w:rPr>
            </w:pPr>
            <w:r>
              <w:rPr>
                <w:rFonts w:hint="eastAsia" w:ascii="宋体" w:hAnsi="宋体"/>
                <w:bCs/>
                <w:kern w:val="0"/>
                <w:szCs w:val="21"/>
                <w:lang w:val="zh-CN"/>
              </w:rPr>
              <w:t>清水墙面无开裂、风化，抹灰或其他饰面层无剥落，幕墙面板材料无碎裂、缺损、变形，五金件完整</w:t>
            </w:r>
          </w:p>
          <w:p>
            <w:pPr>
              <w:ind w:firstLine="420" w:firstLineChars="200"/>
              <w:rPr>
                <w:rFonts w:ascii="宋体"/>
                <w:bCs/>
                <w:kern w:val="0"/>
                <w:szCs w:val="21"/>
                <w:lang w:val="zh-CN"/>
              </w:rPr>
            </w:pPr>
            <w:r>
              <w:rPr>
                <w:rFonts w:hint="eastAsia" w:ascii="宋体" w:hAnsi="宋体"/>
                <w:bCs/>
                <w:kern w:val="0"/>
                <w:szCs w:val="21"/>
                <w:lang w:val="zh-CN"/>
              </w:rPr>
              <w:t>墙面局部渗漏但无严重渗漏点，或墙面涂装局部起皮、脱落，或饰面层轻微空鼓、开裂，或五金件轻微锈蚀，或胶体轻微老化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墙面部分渗漏或虽局部渗漏但有严重渗漏点，或</w:t>
            </w:r>
            <w:r>
              <w:rPr>
                <w:rFonts w:hint="eastAsia"/>
              </w:rPr>
              <w:t>涂装部分起皮、脱落，或清水墙面局部开裂、风化，或抹灰或其他</w:t>
            </w:r>
            <w:r>
              <w:rPr>
                <w:rFonts w:hint="eastAsia" w:ascii="宋体" w:hAnsi="宋体"/>
                <w:bCs/>
                <w:kern w:val="0"/>
                <w:szCs w:val="21"/>
                <w:lang w:val="zh-CN"/>
              </w:rPr>
              <w:t>饰面层部分空鼓、裂缝、剥落，或表观轻微风化，或局部面板材料碎裂、缺损、变形，或五金件明显锈蚀或五金件缺损，或部分胶体老化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墙面大面积渗漏，或涂装大面积起皮、脱落，或清水墙面部分开裂、大面积风化，或抹灰或其他饰面层大面积空鼓、裂缝、风化、剥落，或部分面板材料碎裂、缺损、变形，或部分五金件严重锈蚀，或部分胶体严重老化脱开</w:t>
            </w:r>
          </w:p>
        </w:tc>
      </w:tr>
    </w:tbl>
    <w:p>
      <w:pPr>
        <w:pStyle w:val="3"/>
        <w:numPr>
          <w:ilvl w:val="1"/>
          <w:numId w:val="1"/>
        </w:numPr>
        <w:ind w:left="0" w:firstLine="0"/>
        <w:rPr>
          <w:rFonts w:eastAsiaTheme="minorEastAsia"/>
        </w:rPr>
      </w:pPr>
      <w:bookmarkStart w:id="89" w:name="_Toc527044552"/>
      <w:bookmarkStart w:id="90" w:name="_Toc36906676"/>
      <w:bookmarkStart w:id="91" w:name="_Toc42149909"/>
      <w:bookmarkStart w:id="92" w:name="_Toc42149871"/>
      <w:bookmarkStart w:id="93" w:name="_Toc36905707"/>
      <w:bookmarkStart w:id="94" w:name="_Toc36199845"/>
      <w:bookmarkStart w:id="95" w:name="_Toc32423058"/>
      <w:bookmarkStart w:id="96" w:name="_Toc528044151"/>
      <w:r>
        <w:rPr>
          <w:rFonts w:hint="eastAsia" w:eastAsiaTheme="minorEastAsia"/>
        </w:rPr>
        <w:t>室内建筑装饰</w:t>
      </w:r>
      <w:bookmarkEnd w:id="89"/>
      <w:bookmarkEnd w:id="90"/>
      <w:bookmarkEnd w:id="91"/>
      <w:bookmarkEnd w:id="92"/>
      <w:bookmarkEnd w:id="93"/>
      <w:bookmarkEnd w:id="94"/>
      <w:bookmarkEnd w:id="95"/>
      <w:bookmarkEnd w:id="96"/>
    </w:p>
    <w:p>
      <w:pPr>
        <w:pStyle w:val="4"/>
        <w:numPr>
          <w:ilvl w:val="2"/>
          <w:numId w:val="1"/>
        </w:numPr>
        <w:ind w:left="0" w:firstLine="0"/>
        <w:rPr>
          <w:lang w:val="zh-CN"/>
        </w:rPr>
      </w:pPr>
      <w:r>
        <w:rPr>
          <w:rFonts w:hint="eastAsia"/>
          <w:lang w:val="zh-CN"/>
        </w:rPr>
        <w:t>室内建筑装饰的完损等级，应根据内墙面、楼地面和顶棚的完损状况进行综合确定。</w:t>
      </w:r>
    </w:p>
    <w:p>
      <w:pPr>
        <w:pStyle w:val="4"/>
        <w:numPr>
          <w:ilvl w:val="2"/>
          <w:numId w:val="1"/>
        </w:numPr>
        <w:ind w:left="0" w:firstLine="0"/>
        <w:rPr>
          <w:lang w:val="zh-CN"/>
        </w:rPr>
      </w:pPr>
      <w:r>
        <w:rPr>
          <w:rFonts w:hint="eastAsia"/>
          <w:lang w:val="zh-CN"/>
        </w:rPr>
        <w:t>内墙面完损状况检查</w:t>
      </w:r>
      <w:r>
        <w:rPr>
          <w:rFonts w:hint="eastAsia"/>
          <w:kern w:val="0"/>
          <w:lang w:val="zh-CN"/>
        </w:rPr>
        <w:t>应包括下列主要</w:t>
      </w:r>
      <w:r>
        <w:rPr>
          <w:rFonts w:hint="eastAsia"/>
          <w:lang w:val="zh-CN"/>
        </w:rPr>
        <w:t>内容：</w:t>
      </w:r>
    </w:p>
    <w:p>
      <w:pPr>
        <w:pStyle w:val="74"/>
      </w:pPr>
      <w:r>
        <w:rPr>
          <w:rFonts w:hint="eastAsia"/>
        </w:rPr>
        <w:t>1 墙面渗漏情况；</w:t>
      </w:r>
    </w:p>
    <w:p>
      <w:pPr>
        <w:pStyle w:val="74"/>
      </w:pPr>
      <w:r>
        <w:rPr>
          <w:rFonts w:hint="eastAsia"/>
        </w:rPr>
        <w:t>2 墙面涂料起皮、粉化情况，粉刷或面砖开裂、空鼓、破损、剥落情况；</w:t>
      </w:r>
    </w:p>
    <w:p>
      <w:pPr>
        <w:pStyle w:val="74"/>
      </w:pPr>
      <w:r>
        <w:rPr>
          <w:rFonts w:hint="eastAsia"/>
        </w:rPr>
        <w:t>3 木饰面腐朽、蛀蚀、变形、断裂情况；</w:t>
      </w:r>
    </w:p>
    <w:p>
      <w:pPr>
        <w:pStyle w:val="74"/>
      </w:pPr>
      <w:r>
        <w:rPr>
          <w:rFonts w:hint="eastAsia"/>
        </w:rPr>
        <w:t>4 墙纸空鼓、翘边情况。</w:t>
      </w:r>
    </w:p>
    <w:p>
      <w:pPr>
        <w:pStyle w:val="4"/>
        <w:numPr>
          <w:ilvl w:val="2"/>
          <w:numId w:val="1"/>
        </w:numPr>
        <w:ind w:left="0" w:firstLine="0"/>
        <w:rPr>
          <w:lang w:val="zh-CN"/>
        </w:rPr>
      </w:pPr>
      <w:r>
        <w:rPr>
          <w:rFonts w:hint="eastAsia"/>
          <w:lang w:val="zh-CN"/>
        </w:rPr>
        <w:t>楼地面完损状况检查</w:t>
      </w:r>
      <w:r>
        <w:rPr>
          <w:rFonts w:hint="eastAsia"/>
          <w:kern w:val="0"/>
          <w:lang w:val="zh-CN"/>
        </w:rPr>
        <w:t>应包括下列主要</w:t>
      </w:r>
      <w:r>
        <w:rPr>
          <w:rFonts w:hint="eastAsia"/>
          <w:lang w:val="zh-CN"/>
        </w:rPr>
        <w:t>内容：</w:t>
      </w:r>
    </w:p>
    <w:p>
      <w:pPr>
        <w:pStyle w:val="74"/>
      </w:pPr>
      <w:r>
        <w:rPr>
          <w:rFonts w:hint="eastAsia"/>
        </w:rPr>
        <w:t>1 整体面层开裂、起砂、空鼓、破损情况；</w:t>
      </w:r>
    </w:p>
    <w:p>
      <w:pPr>
        <w:pStyle w:val="74"/>
      </w:pPr>
      <w:r>
        <w:rPr>
          <w:rFonts w:hint="eastAsia"/>
        </w:rPr>
        <w:t>2 木楼地面蛀蚀或翘曲变形、腐朽、松动、稀缝、踩踏异响、漆面磨损情况；</w:t>
      </w:r>
    </w:p>
    <w:p>
      <w:pPr>
        <w:pStyle w:val="74"/>
      </w:pPr>
      <w:r>
        <w:rPr>
          <w:rFonts w:hint="eastAsia"/>
        </w:rPr>
        <w:t>3 块料楼地面开裂、空鼓、磨损，块材变形、碎裂情况。</w:t>
      </w:r>
    </w:p>
    <w:p>
      <w:pPr>
        <w:pStyle w:val="4"/>
        <w:numPr>
          <w:ilvl w:val="2"/>
          <w:numId w:val="1"/>
        </w:numPr>
        <w:ind w:left="0" w:firstLine="0"/>
        <w:rPr>
          <w:lang w:val="zh-CN"/>
        </w:rPr>
      </w:pPr>
      <w:r>
        <w:rPr>
          <w:rFonts w:hint="eastAsia"/>
          <w:lang w:val="zh-CN"/>
        </w:rPr>
        <w:t>顶棚完损状况检查</w:t>
      </w:r>
      <w:r>
        <w:rPr>
          <w:rFonts w:hint="eastAsia"/>
          <w:kern w:val="0"/>
          <w:lang w:val="zh-CN"/>
        </w:rPr>
        <w:t>应包括下列主要</w:t>
      </w:r>
      <w:r>
        <w:rPr>
          <w:rFonts w:hint="eastAsia"/>
          <w:lang w:val="zh-CN"/>
        </w:rPr>
        <w:t>内容：</w:t>
      </w:r>
    </w:p>
    <w:p>
      <w:pPr>
        <w:pStyle w:val="74"/>
      </w:pPr>
      <w:r>
        <w:rPr>
          <w:rFonts w:hint="eastAsia"/>
        </w:rPr>
        <w:t>1 顶棚渗漏情况；</w:t>
      </w:r>
    </w:p>
    <w:p>
      <w:pPr>
        <w:pStyle w:val="74"/>
      </w:pPr>
      <w:r>
        <w:rPr>
          <w:rFonts w:hint="eastAsia"/>
        </w:rPr>
        <w:t>2 面板、龙骨及吊杆等的开裂、松动变形、腐朽、蛀蚀、锈蚀情况；</w:t>
      </w:r>
    </w:p>
    <w:p>
      <w:pPr>
        <w:pStyle w:val="74"/>
      </w:pPr>
      <w:r>
        <w:rPr>
          <w:rFonts w:hint="eastAsia"/>
        </w:rPr>
        <w:t>3 涂层老化、起皮、剥落情况；</w:t>
      </w:r>
    </w:p>
    <w:p>
      <w:pPr>
        <w:pStyle w:val="74"/>
      </w:pPr>
      <w:r>
        <w:rPr>
          <w:rFonts w:hint="eastAsia"/>
        </w:rPr>
        <w:t>4 线脚的松动、脱落情况。</w:t>
      </w:r>
    </w:p>
    <w:p>
      <w:pPr>
        <w:pStyle w:val="4"/>
        <w:numPr>
          <w:ilvl w:val="2"/>
          <w:numId w:val="1"/>
        </w:numPr>
        <w:ind w:left="0" w:firstLine="0"/>
        <w:rPr>
          <w:lang w:val="zh-CN"/>
        </w:rPr>
      </w:pPr>
      <w:r>
        <w:rPr>
          <w:rFonts w:hint="eastAsia"/>
          <w:lang w:val="zh-CN"/>
        </w:rPr>
        <w:t>室内建筑装饰完损等级应按表4.4.5评定。</w:t>
      </w:r>
    </w:p>
    <w:p>
      <w:pPr>
        <w:pStyle w:val="78"/>
        <w:rPr>
          <w:kern w:val="0"/>
        </w:rPr>
      </w:pPr>
      <w:r>
        <w:rPr>
          <w:rFonts w:hint="eastAsia"/>
          <w:kern w:val="0"/>
        </w:rPr>
        <w:t>表</w:t>
      </w:r>
      <w:r>
        <w:rPr>
          <w:kern w:val="0"/>
        </w:rPr>
        <w:t>4.</w:t>
      </w:r>
      <w:r>
        <w:rPr>
          <w:rFonts w:hint="eastAsia"/>
          <w:kern w:val="0"/>
        </w:rPr>
        <w:t>4</w:t>
      </w:r>
      <w:r>
        <w:rPr>
          <w:kern w:val="0"/>
        </w:rPr>
        <w:t>.</w:t>
      </w:r>
      <w:r>
        <w:rPr>
          <w:rFonts w:hint="eastAsia"/>
          <w:kern w:val="0"/>
        </w:rPr>
        <w:t>5室内建筑装饰完损等级评定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704"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饰面平整，无渗漏、变形、开裂、空鼓、锈蚀、剥落、腐朽、蛀蚀、断裂、破损、起砂、踩踏异响、脱落、漆面磨损，且</w:t>
            </w:r>
            <w:r>
              <w:rPr>
                <w:rFonts w:hint="eastAsia" w:ascii="宋体"/>
                <w:bCs/>
                <w:kern w:val="0"/>
                <w:szCs w:val="21"/>
                <w:lang w:val="zh-CN"/>
              </w:rPr>
              <w:t>外饰面涂层无老化、起皮、剥落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704" w:type="dxa"/>
            <w:vAlign w:val="center"/>
          </w:tcPr>
          <w:p>
            <w:pPr>
              <w:ind w:firstLine="420" w:firstLineChars="200"/>
              <w:rPr>
                <w:rFonts w:ascii="宋体" w:hAnsi="宋体"/>
                <w:bCs/>
                <w:kern w:val="0"/>
                <w:szCs w:val="21"/>
                <w:lang w:val="zh-CN"/>
              </w:rPr>
            </w:pPr>
            <w:r>
              <w:rPr>
                <w:rFonts w:hint="eastAsia" w:ascii="宋体" w:hAnsi="宋体"/>
                <w:bCs/>
                <w:kern w:val="0"/>
                <w:szCs w:val="21"/>
                <w:lang w:val="zh-CN"/>
              </w:rPr>
              <w:t>饰面平整，无变形、腐朽、蛀蚀、断裂、破损、起砂、踩踏异响、脱落</w:t>
            </w:r>
          </w:p>
          <w:p>
            <w:pPr>
              <w:ind w:firstLine="420" w:firstLineChars="200"/>
              <w:rPr>
                <w:rFonts w:ascii="宋体"/>
                <w:bCs/>
                <w:kern w:val="0"/>
                <w:szCs w:val="21"/>
                <w:lang w:val="zh-CN"/>
              </w:rPr>
            </w:pPr>
            <w:r>
              <w:rPr>
                <w:rFonts w:hint="eastAsia" w:ascii="宋体" w:hAnsi="宋体"/>
                <w:bCs/>
                <w:kern w:val="0"/>
                <w:szCs w:val="21"/>
                <w:lang w:val="zh-CN"/>
              </w:rPr>
              <w:t>饰面局部渗漏但无严重渗漏点，或饰面局部有轻微裂缝、空鼓、锈蚀、剥落、</w:t>
            </w:r>
            <w:r>
              <w:rPr>
                <w:rFonts w:hint="eastAsia" w:ascii="宋体"/>
                <w:bCs/>
                <w:kern w:val="0"/>
                <w:szCs w:val="21"/>
                <w:lang w:val="zh-CN"/>
              </w:rPr>
              <w:t>漆面</w:t>
            </w:r>
            <w:r>
              <w:rPr>
                <w:rFonts w:hint="eastAsia" w:ascii="宋体" w:hAnsi="宋体"/>
                <w:bCs/>
                <w:kern w:val="0"/>
                <w:szCs w:val="21"/>
                <w:lang w:val="zh-CN"/>
              </w:rPr>
              <w:t>磨损，或</w:t>
            </w:r>
            <w:r>
              <w:rPr>
                <w:rFonts w:hint="eastAsia" w:ascii="宋体"/>
                <w:bCs/>
                <w:kern w:val="0"/>
                <w:szCs w:val="21"/>
                <w:lang w:val="zh-CN"/>
              </w:rPr>
              <w:t>外饰面涂层局部老化、起皮、剥落，或个别线脚松动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饰面部分渗漏或虽局部渗漏但有严重渗漏点，或饰面局部或部分有明显裂缝、空鼓、锈蚀、剥落、</w:t>
            </w:r>
            <w:r>
              <w:rPr>
                <w:rFonts w:hint="eastAsia" w:ascii="宋体"/>
                <w:bCs/>
                <w:kern w:val="0"/>
                <w:szCs w:val="21"/>
                <w:lang w:val="zh-CN"/>
              </w:rPr>
              <w:t>漆面</w:t>
            </w:r>
            <w:r>
              <w:rPr>
                <w:rFonts w:hint="eastAsia" w:ascii="宋体" w:hAnsi="宋体"/>
                <w:bCs/>
                <w:kern w:val="0"/>
                <w:szCs w:val="21"/>
                <w:lang w:val="zh-CN"/>
              </w:rPr>
              <w:t>磨损，或饰面局部或部分有断裂、破损、翘边、腐朽、蛀蚀、变形、起砂、磨损、</w:t>
            </w:r>
            <w:r>
              <w:rPr>
                <w:rFonts w:hint="eastAsia" w:ascii="宋体"/>
                <w:bCs/>
                <w:kern w:val="0"/>
                <w:szCs w:val="21"/>
                <w:lang w:val="zh-CN"/>
              </w:rPr>
              <w:t>踩踏异响，或龙骨及吊杆局部或部分松动、腐朽、锈蚀</w:t>
            </w:r>
            <w:r>
              <w:rPr>
                <w:rFonts w:hint="eastAsia" w:ascii="宋体" w:hAnsi="宋体"/>
                <w:bCs/>
                <w:kern w:val="0"/>
                <w:szCs w:val="21"/>
                <w:lang w:val="zh-CN"/>
              </w:rPr>
              <w:t>，或</w:t>
            </w:r>
            <w:r>
              <w:rPr>
                <w:rFonts w:hint="eastAsia" w:ascii="宋体"/>
                <w:bCs/>
                <w:kern w:val="0"/>
                <w:szCs w:val="21"/>
                <w:lang w:val="zh-CN"/>
              </w:rPr>
              <w:t>外饰面涂层部分老化、起皮、剥落，或多处线脚松动、局部脱落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饰面大面积渗漏，或饰面有大面积裂缝、变形、空鼓、翘边、腐朽、蛀蚀、锈蚀、断裂、破损、剥落、起砂、磨损、</w:t>
            </w:r>
            <w:r>
              <w:rPr>
                <w:rFonts w:hint="eastAsia" w:ascii="宋体"/>
                <w:bCs/>
                <w:kern w:val="0"/>
                <w:szCs w:val="21"/>
                <w:lang w:val="zh-CN"/>
              </w:rPr>
              <w:t>踩踏异响，或龙骨及吊杆大面积松动、腐朽、锈蚀，或涂层大面积老化、起皮、剥落，或线脚多处脱落</w:t>
            </w:r>
          </w:p>
        </w:tc>
      </w:tr>
    </w:tbl>
    <w:p>
      <w:pPr>
        <w:pStyle w:val="3"/>
        <w:numPr>
          <w:ilvl w:val="1"/>
          <w:numId w:val="1"/>
        </w:numPr>
        <w:ind w:left="0" w:firstLine="0"/>
        <w:rPr>
          <w:rFonts w:eastAsiaTheme="minorEastAsia"/>
        </w:rPr>
      </w:pPr>
      <w:bookmarkStart w:id="97" w:name="_Toc527044553"/>
      <w:bookmarkStart w:id="98" w:name="_Toc42149872"/>
      <w:bookmarkStart w:id="99" w:name="_Toc509680657"/>
      <w:bookmarkStart w:id="100" w:name="_Toc36199846"/>
      <w:bookmarkStart w:id="101" w:name="_Toc32423059"/>
      <w:bookmarkStart w:id="102" w:name="_Toc42149910"/>
      <w:bookmarkStart w:id="103" w:name="_Toc36906677"/>
      <w:bookmarkStart w:id="104" w:name="_Toc36905708"/>
      <w:bookmarkStart w:id="105" w:name="_Toc528044152"/>
      <w:r>
        <w:rPr>
          <w:rFonts w:hint="eastAsia" w:eastAsiaTheme="minorEastAsia"/>
        </w:rPr>
        <w:t>门窗</w:t>
      </w:r>
      <w:bookmarkEnd w:id="97"/>
      <w:bookmarkEnd w:id="98"/>
      <w:bookmarkEnd w:id="99"/>
      <w:bookmarkEnd w:id="100"/>
      <w:bookmarkEnd w:id="101"/>
      <w:bookmarkEnd w:id="102"/>
      <w:bookmarkEnd w:id="103"/>
      <w:bookmarkEnd w:id="104"/>
      <w:bookmarkEnd w:id="105"/>
    </w:p>
    <w:p>
      <w:pPr>
        <w:pStyle w:val="4"/>
        <w:numPr>
          <w:ilvl w:val="2"/>
          <w:numId w:val="1"/>
        </w:numPr>
        <w:ind w:left="0" w:firstLine="0"/>
        <w:rPr>
          <w:lang w:val="zh-CN"/>
        </w:rPr>
      </w:pPr>
      <w:bookmarkStart w:id="106" w:name="_Toc509680658"/>
      <w:r>
        <w:rPr>
          <w:rFonts w:hint="eastAsia"/>
          <w:lang w:val="zh-CN"/>
        </w:rPr>
        <w:t>门窗的完损状况检查</w:t>
      </w:r>
      <w:r>
        <w:rPr>
          <w:rFonts w:hint="eastAsia"/>
          <w:kern w:val="0"/>
          <w:lang w:val="zh-CN"/>
        </w:rPr>
        <w:t>应包括下列主要</w:t>
      </w:r>
      <w:r>
        <w:rPr>
          <w:rFonts w:hint="eastAsia"/>
          <w:lang w:val="zh-CN"/>
        </w:rPr>
        <w:t>内容：</w:t>
      </w:r>
    </w:p>
    <w:p>
      <w:pPr>
        <w:pStyle w:val="74"/>
      </w:pPr>
      <w:r>
        <w:rPr>
          <w:rFonts w:hint="eastAsia"/>
        </w:rPr>
        <w:t>1渗漏情况；</w:t>
      </w:r>
    </w:p>
    <w:p>
      <w:pPr>
        <w:pStyle w:val="74"/>
      </w:pPr>
      <w:r>
        <w:rPr>
          <w:rFonts w:hint="eastAsia"/>
        </w:rPr>
        <w:t>2变形情况；</w:t>
      </w:r>
    </w:p>
    <w:p>
      <w:pPr>
        <w:pStyle w:val="74"/>
      </w:pPr>
      <w:r>
        <w:rPr>
          <w:rFonts w:hint="eastAsia"/>
        </w:rPr>
        <w:t>3 玻璃和五金件缺失和损坏情况；</w:t>
      </w:r>
    </w:p>
    <w:p>
      <w:pPr>
        <w:pStyle w:val="74"/>
      </w:pPr>
      <w:r>
        <w:rPr>
          <w:rFonts w:hint="eastAsia"/>
        </w:rPr>
        <w:t>4 油漆剥落情况；</w:t>
      </w:r>
    </w:p>
    <w:p>
      <w:pPr>
        <w:pStyle w:val="74"/>
      </w:pPr>
      <w:r>
        <w:rPr>
          <w:rFonts w:hint="eastAsia"/>
        </w:rPr>
        <w:t>5 木构件腐朽、松动、蛀蚀情况；</w:t>
      </w:r>
    </w:p>
    <w:p>
      <w:pPr>
        <w:pStyle w:val="74"/>
      </w:pPr>
      <w:r>
        <w:rPr>
          <w:rFonts w:hint="eastAsia"/>
        </w:rPr>
        <w:t>6 金属构件锈蚀情况。</w:t>
      </w:r>
    </w:p>
    <w:p>
      <w:pPr>
        <w:pStyle w:val="4"/>
        <w:numPr>
          <w:ilvl w:val="2"/>
          <w:numId w:val="1"/>
        </w:numPr>
        <w:ind w:left="0" w:firstLine="0"/>
        <w:rPr>
          <w:lang w:val="zh-CN"/>
        </w:rPr>
      </w:pPr>
      <w:r>
        <w:rPr>
          <w:rFonts w:hint="eastAsia"/>
          <w:lang w:val="zh-CN"/>
        </w:rPr>
        <w:t>门窗完损等级应按表4.5.2评定。</w:t>
      </w:r>
    </w:p>
    <w:p>
      <w:pPr>
        <w:rPr>
          <w:lang w:val="zh-CN"/>
        </w:rPr>
      </w:pPr>
    </w:p>
    <w:p>
      <w:pPr>
        <w:rPr>
          <w:lang w:val="zh-CN"/>
        </w:rPr>
      </w:pPr>
    </w:p>
    <w:p>
      <w:pPr>
        <w:rPr>
          <w:lang w:val="zh-CN"/>
        </w:rPr>
      </w:pPr>
    </w:p>
    <w:p>
      <w:pPr>
        <w:pStyle w:val="78"/>
        <w:rPr>
          <w:kern w:val="0"/>
        </w:rPr>
      </w:pPr>
      <w:r>
        <w:rPr>
          <w:rFonts w:hint="eastAsia"/>
          <w:kern w:val="0"/>
        </w:rPr>
        <w:t>表</w:t>
      </w:r>
      <w:r>
        <w:rPr>
          <w:kern w:val="0"/>
        </w:rPr>
        <w:t>4.</w:t>
      </w:r>
      <w:r>
        <w:rPr>
          <w:rFonts w:hint="eastAsia"/>
          <w:kern w:val="0"/>
        </w:rPr>
        <w:t>5</w:t>
      </w:r>
      <w:r>
        <w:rPr>
          <w:kern w:val="0"/>
        </w:rPr>
        <w:t>.</w:t>
      </w:r>
      <w:r>
        <w:rPr>
          <w:rFonts w:hint="eastAsia"/>
          <w:kern w:val="0"/>
        </w:rPr>
        <w:t>2门窗完损等级评定</w:t>
      </w:r>
    </w:p>
    <w:tbl>
      <w:tblPr>
        <w:tblStyle w:val="35"/>
        <w:tblW w:w="8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55"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25"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355"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825" w:type="dxa"/>
            <w:vAlign w:val="center"/>
          </w:tcPr>
          <w:p>
            <w:pPr>
              <w:ind w:firstLine="420" w:firstLineChars="200"/>
              <w:rPr>
                <w:rFonts w:ascii="宋体"/>
                <w:bCs/>
                <w:kern w:val="0"/>
                <w:szCs w:val="21"/>
                <w:lang w:val="zh-CN"/>
              </w:rPr>
            </w:pPr>
            <w:r>
              <w:rPr>
                <w:rFonts w:hint="eastAsia" w:ascii="宋体" w:hAnsi="宋体"/>
                <w:bCs/>
                <w:kern w:val="0"/>
                <w:szCs w:val="21"/>
                <w:lang w:val="zh-CN"/>
              </w:rPr>
              <w:t>门窗无渗漏，开关灵活，玻璃无碎裂，五金件无断裂、缺损、锈蚀</w:t>
            </w:r>
            <w:r>
              <w:rPr>
                <w:rFonts w:hint="eastAsia" w:ascii="宋体"/>
                <w:bCs/>
                <w:kern w:val="0"/>
                <w:szCs w:val="21"/>
                <w:lang w:val="zh-CN"/>
              </w:rPr>
              <w:t>，外饰面涂层无老化、剥落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355"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825" w:type="dxa"/>
            <w:vAlign w:val="center"/>
          </w:tcPr>
          <w:p>
            <w:pPr>
              <w:ind w:firstLine="420" w:firstLineChars="200"/>
              <w:rPr>
                <w:rFonts w:ascii="宋体" w:hAnsi="宋体"/>
                <w:bCs/>
                <w:kern w:val="0"/>
                <w:szCs w:val="21"/>
                <w:lang w:val="zh-CN"/>
              </w:rPr>
            </w:pPr>
            <w:r>
              <w:rPr>
                <w:rFonts w:hint="eastAsia" w:ascii="宋体" w:hAnsi="宋体"/>
                <w:bCs/>
                <w:kern w:val="0"/>
                <w:szCs w:val="21"/>
                <w:lang w:val="zh-CN"/>
              </w:rPr>
              <w:t>开关灵活，玻璃无碎裂，五金件无断裂、缺损</w:t>
            </w:r>
            <w:r>
              <w:rPr>
                <w:rFonts w:hint="eastAsia" w:ascii="宋体"/>
                <w:bCs/>
                <w:kern w:val="0"/>
                <w:szCs w:val="21"/>
                <w:lang w:val="zh-CN"/>
              </w:rPr>
              <w:t>，外饰面涂层无剥落</w:t>
            </w:r>
            <w:r>
              <w:rPr>
                <w:rFonts w:hint="eastAsia" w:ascii="宋体" w:hAnsi="宋体"/>
                <w:bCs/>
                <w:kern w:val="0"/>
                <w:szCs w:val="21"/>
                <w:lang w:val="zh-CN"/>
              </w:rPr>
              <w:t>。</w:t>
            </w:r>
          </w:p>
          <w:p>
            <w:pPr>
              <w:ind w:firstLine="420" w:firstLineChars="200"/>
              <w:rPr>
                <w:rFonts w:ascii="宋体"/>
                <w:bCs/>
                <w:kern w:val="0"/>
                <w:szCs w:val="21"/>
                <w:lang w:val="zh-CN"/>
              </w:rPr>
            </w:pPr>
            <w:r>
              <w:rPr>
                <w:rFonts w:hint="eastAsia" w:ascii="宋体" w:hAnsi="宋体"/>
                <w:bCs/>
                <w:kern w:val="0"/>
                <w:szCs w:val="21"/>
                <w:lang w:val="zh-CN"/>
              </w:rPr>
              <w:t>个别门窗有渗漏，或个别门窗轻微碰轧或异响，或五金件轻微锈蚀，或</w:t>
            </w:r>
            <w:r>
              <w:rPr>
                <w:rFonts w:hint="eastAsia" w:ascii="宋体"/>
                <w:bCs/>
                <w:kern w:val="0"/>
                <w:szCs w:val="21"/>
                <w:lang w:val="zh-CN"/>
              </w:rPr>
              <w:t>外饰面涂层轻微老化、磨损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55"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825" w:type="dxa"/>
            <w:vAlign w:val="center"/>
          </w:tcPr>
          <w:p>
            <w:pPr>
              <w:ind w:firstLine="420" w:firstLineChars="200"/>
              <w:rPr>
                <w:rFonts w:ascii="宋体"/>
                <w:bCs/>
                <w:kern w:val="0"/>
                <w:szCs w:val="21"/>
                <w:lang w:val="zh-CN"/>
              </w:rPr>
            </w:pPr>
            <w:r>
              <w:rPr>
                <w:rFonts w:hint="eastAsia" w:ascii="宋体"/>
                <w:bCs/>
                <w:kern w:val="0"/>
                <w:szCs w:val="21"/>
                <w:lang w:val="zh-CN"/>
              </w:rPr>
              <w:t>少量门窗有渗漏</w:t>
            </w:r>
            <w:r>
              <w:rPr>
                <w:rFonts w:hint="eastAsia" w:ascii="宋体" w:hAnsi="宋体"/>
                <w:bCs/>
                <w:kern w:val="0"/>
                <w:szCs w:val="21"/>
                <w:lang w:val="zh-CN"/>
              </w:rPr>
              <w:t>，或个别门窗开关不畅，有明显碰轧或异响，或个别门窗接缝部位漏风，或个别门窗玻璃碎裂但暂时无掉落危险，或五金件有明显锈蚀，或个别门窗非承重零件断裂或缺损，或</w:t>
            </w:r>
            <w:r>
              <w:rPr>
                <w:rFonts w:hint="eastAsia" w:ascii="宋体"/>
                <w:bCs/>
                <w:kern w:val="0"/>
                <w:szCs w:val="21"/>
                <w:lang w:val="zh-CN"/>
              </w:rPr>
              <w:t>外饰面涂层明显老化、磨损，或个别剥落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355"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825" w:type="dxa"/>
            <w:vAlign w:val="center"/>
          </w:tcPr>
          <w:p>
            <w:pPr>
              <w:ind w:firstLine="420" w:firstLineChars="200"/>
              <w:rPr>
                <w:rFonts w:ascii="宋体"/>
                <w:bCs/>
                <w:kern w:val="0"/>
                <w:szCs w:val="21"/>
                <w:lang w:val="zh-CN"/>
              </w:rPr>
            </w:pPr>
            <w:r>
              <w:rPr>
                <w:rFonts w:hint="eastAsia" w:ascii="宋体"/>
                <w:bCs/>
                <w:kern w:val="0"/>
                <w:szCs w:val="21"/>
                <w:lang w:val="zh-CN"/>
              </w:rPr>
              <w:t>多处门窗有渗漏，或少量门窗开关困难，或少量门窗接缝部位漏风，或少量门窗玻璃碎裂或缺损、五金件严重锈蚀，或少量门窗有主要承重零件或非承重零件断裂或缺损，或门窗外饰面涂层严重老化、磨损，或多处剥落</w:t>
            </w:r>
          </w:p>
        </w:tc>
      </w:tr>
    </w:tbl>
    <w:p>
      <w:pPr>
        <w:pStyle w:val="3"/>
        <w:numPr>
          <w:ilvl w:val="1"/>
          <w:numId w:val="1"/>
        </w:numPr>
        <w:ind w:left="0" w:firstLine="0"/>
        <w:rPr>
          <w:rFonts w:eastAsiaTheme="minorEastAsia"/>
        </w:rPr>
      </w:pPr>
      <w:bookmarkStart w:id="107" w:name="_Toc36906678"/>
      <w:bookmarkStart w:id="108" w:name="_Toc36199847"/>
      <w:bookmarkStart w:id="109" w:name="_Toc527044554"/>
      <w:bookmarkStart w:id="110" w:name="_Toc528044153"/>
      <w:bookmarkStart w:id="111" w:name="_Toc42149911"/>
      <w:bookmarkStart w:id="112" w:name="_Toc42149873"/>
      <w:bookmarkStart w:id="113" w:name="_Toc36905709"/>
      <w:bookmarkStart w:id="114" w:name="_Toc32423060"/>
      <w:r>
        <w:rPr>
          <w:rFonts w:hint="eastAsia" w:eastAsiaTheme="minorEastAsia"/>
        </w:rPr>
        <w:t>其他非结构构件及建筑构造</w:t>
      </w:r>
      <w:bookmarkEnd w:id="106"/>
      <w:bookmarkEnd w:id="107"/>
      <w:bookmarkEnd w:id="108"/>
      <w:bookmarkEnd w:id="109"/>
      <w:bookmarkEnd w:id="110"/>
      <w:bookmarkEnd w:id="111"/>
      <w:bookmarkEnd w:id="112"/>
      <w:bookmarkEnd w:id="113"/>
      <w:bookmarkEnd w:id="114"/>
    </w:p>
    <w:p>
      <w:pPr>
        <w:pStyle w:val="4"/>
        <w:numPr>
          <w:ilvl w:val="2"/>
          <w:numId w:val="1"/>
        </w:numPr>
        <w:ind w:left="0" w:firstLine="0"/>
        <w:rPr>
          <w:lang w:val="zh-CN"/>
        </w:rPr>
      </w:pPr>
      <w:r>
        <w:rPr>
          <w:rFonts w:hint="eastAsia"/>
          <w:lang w:val="zh-CN"/>
        </w:rPr>
        <w:t>除屋面、外立面、室内建筑装饰、门窗外的其他非结构构件及建筑构造的完损等级，应根据隔墙、楼梯和阳台的附属部件等非结构构件以及防潮层等建筑构造的完损状况进行综合确定。</w:t>
      </w:r>
    </w:p>
    <w:p>
      <w:pPr>
        <w:pStyle w:val="4"/>
        <w:numPr>
          <w:ilvl w:val="2"/>
          <w:numId w:val="1"/>
        </w:numPr>
        <w:ind w:left="0" w:firstLine="0"/>
        <w:rPr>
          <w:lang w:val="zh-CN"/>
        </w:rPr>
      </w:pPr>
      <w:r>
        <w:rPr>
          <w:rFonts w:hint="eastAsia"/>
          <w:lang w:val="zh-CN"/>
        </w:rPr>
        <w:t>隔墙的完损状况检查应包括下列主要内容：</w:t>
      </w:r>
    </w:p>
    <w:p>
      <w:pPr>
        <w:pStyle w:val="74"/>
      </w:pPr>
      <w:r>
        <w:rPr>
          <w:rFonts w:hint="eastAsia"/>
        </w:rPr>
        <w:t>1 砖砌体弓凸、开裂、破损、变形情况；</w:t>
      </w:r>
    </w:p>
    <w:p>
      <w:pPr>
        <w:pStyle w:val="74"/>
      </w:pPr>
      <w:r>
        <w:rPr>
          <w:rFonts w:hint="eastAsia"/>
        </w:rPr>
        <w:t>2 轻质墙体龙骨变形、面板开裂、各组成部分连接处松动或相对变形情况；</w:t>
      </w:r>
    </w:p>
    <w:p>
      <w:pPr>
        <w:pStyle w:val="74"/>
      </w:pPr>
      <w:r>
        <w:rPr>
          <w:rFonts w:hint="eastAsia"/>
        </w:rPr>
        <w:t>3 玻璃、木饰、金属等其他材料隔断开裂、变形、腐朽、锈蚀、蛀蚀、残缺、破损情况；</w:t>
      </w:r>
    </w:p>
    <w:p>
      <w:pPr>
        <w:pStyle w:val="74"/>
      </w:pPr>
      <w:r>
        <w:rPr>
          <w:rFonts w:hint="eastAsia"/>
        </w:rPr>
        <w:t>4 隔墙与结构连接部位的开裂情况。</w:t>
      </w:r>
    </w:p>
    <w:p>
      <w:pPr>
        <w:pStyle w:val="4"/>
        <w:numPr>
          <w:ilvl w:val="2"/>
          <w:numId w:val="1"/>
        </w:numPr>
        <w:ind w:left="0" w:firstLine="0"/>
        <w:rPr>
          <w:lang w:val="zh-CN"/>
        </w:rPr>
      </w:pPr>
      <w:r>
        <w:rPr>
          <w:rFonts w:hint="eastAsia"/>
          <w:lang w:val="zh-CN"/>
        </w:rPr>
        <w:t>楼梯和阳台的附属部件完损状况检查应包括下列主要内容：</w:t>
      </w:r>
    </w:p>
    <w:p>
      <w:pPr>
        <w:pStyle w:val="74"/>
      </w:pPr>
      <w:r>
        <w:rPr>
          <w:rFonts w:hint="eastAsia"/>
        </w:rPr>
        <w:t>1 栏杆和扶手的开裂、变形、腐朽、蛀蚀、破损情况；</w:t>
      </w:r>
    </w:p>
    <w:p>
      <w:pPr>
        <w:pStyle w:val="74"/>
      </w:pPr>
      <w:r>
        <w:rPr>
          <w:rFonts w:hint="eastAsia"/>
        </w:rPr>
        <w:t>2 栏杆或栏板与主体连接部位的松动、开裂情况；</w:t>
      </w:r>
    </w:p>
    <w:p>
      <w:pPr>
        <w:pStyle w:val="74"/>
      </w:pPr>
      <w:r>
        <w:rPr>
          <w:rFonts w:hint="eastAsia"/>
        </w:rPr>
        <w:t>3金属件锈蚀情况；</w:t>
      </w:r>
    </w:p>
    <w:p>
      <w:pPr>
        <w:pStyle w:val="74"/>
      </w:pPr>
      <w:r>
        <w:rPr>
          <w:rFonts w:hint="eastAsia"/>
        </w:rPr>
        <w:t>4 后装防滑条及其他配件装饰等断裂、松动、变形、腐朽、破损，锈蚀或缺失情况；</w:t>
      </w:r>
    </w:p>
    <w:p>
      <w:pPr>
        <w:pStyle w:val="74"/>
      </w:pPr>
      <w:r>
        <w:rPr>
          <w:rFonts w:hint="eastAsia"/>
        </w:rPr>
        <w:t>5 踏步及防滑条涂层老化、磨损情况。</w:t>
      </w:r>
    </w:p>
    <w:p>
      <w:pPr>
        <w:pStyle w:val="4"/>
        <w:numPr>
          <w:ilvl w:val="2"/>
          <w:numId w:val="1"/>
        </w:numPr>
        <w:ind w:left="0" w:firstLine="0"/>
        <w:rPr>
          <w:lang w:val="zh-CN"/>
        </w:rPr>
      </w:pPr>
      <w:r>
        <w:rPr>
          <w:rFonts w:hint="eastAsia"/>
          <w:lang w:val="zh-CN"/>
        </w:rPr>
        <w:t>防潮层完损状况检查应包括底层墙体受潮、泛碱情况及底层地面受潮、木地板腐烂情况。</w:t>
      </w:r>
    </w:p>
    <w:p>
      <w:pPr>
        <w:pStyle w:val="4"/>
        <w:numPr>
          <w:ilvl w:val="2"/>
          <w:numId w:val="1"/>
        </w:numPr>
        <w:ind w:left="0" w:firstLine="0"/>
        <w:rPr>
          <w:lang w:val="zh-CN"/>
        </w:rPr>
      </w:pPr>
      <w:r>
        <w:rPr>
          <w:rFonts w:hint="eastAsia"/>
          <w:lang w:val="zh-CN"/>
        </w:rPr>
        <w:t>除屋面、外立面、室内建筑装饰、门窗外的其他非结构构件及建筑构造完损等级应按表4.6.5评定。</w:t>
      </w:r>
    </w:p>
    <w:p>
      <w:pPr>
        <w:pStyle w:val="78"/>
        <w:rPr>
          <w:kern w:val="0"/>
        </w:rPr>
      </w:pPr>
      <w:r>
        <w:rPr>
          <w:rFonts w:hint="eastAsia"/>
          <w:kern w:val="0"/>
        </w:rPr>
        <w:t>表</w:t>
      </w:r>
      <w:r>
        <w:rPr>
          <w:kern w:val="0"/>
        </w:rPr>
        <w:t>4.</w:t>
      </w:r>
      <w:r>
        <w:rPr>
          <w:rFonts w:hint="eastAsia"/>
          <w:kern w:val="0"/>
        </w:rPr>
        <w:t>6</w:t>
      </w:r>
      <w:r>
        <w:rPr>
          <w:kern w:val="0"/>
        </w:rPr>
        <w:t>.</w:t>
      </w:r>
      <w:r>
        <w:rPr>
          <w:rFonts w:hint="eastAsia"/>
          <w:kern w:val="0"/>
        </w:rPr>
        <w:t>5其他非结构构件及建筑构造完损等级评定表</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704"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构件表面无变形、开裂、腐朽、蛀蚀、残缺、破损，龙骨无变形，各组成部分连接牢固无相对变形，后装防滑条及其他配件装饰等无断裂、松动、变形、腐朽、破损、锈蚀、磨损，底层墙面无明显受潮、泛碱，底层地面无明显受潮、木地板腐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704" w:type="dxa"/>
            <w:vAlign w:val="center"/>
          </w:tcPr>
          <w:p>
            <w:pPr>
              <w:ind w:firstLine="420" w:firstLineChars="200"/>
              <w:rPr>
                <w:rFonts w:ascii="宋体" w:hAnsi="宋体"/>
                <w:bCs/>
                <w:kern w:val="0"/>
                <w:szCs w:val="21"/>
              </w:rPr>
            </w:pPr>
            <w:r>
              <w:rPr>
                <w:rFonts w:hint="eastAsia" w:ascii="宋体" w:hAnsi="宋体"/>
                <w:bCs/>
                <w:kern w:val="0"/>
                <w:szCs w:val="21"/>
                <w:lang w:val="zh-CN"/>
              </w:rPr>
              <w:t>构件表面无变形、腐朽、蛀蚀、残缺、破损，龙骨无变形，各组成部分连接牢固无相对变形，后装防滑条及其他配件装饰等无断裂、松动、变形、腐朽、破损，底层墙面无明显受潮、泛碱，底层地面无明显受潮、木地板腐</w:t>
            </w:r>
          </w:p>
          <w:p>
            <w:pPr>
              <w:ind w:firstLine="420" w:firstLineChars="200"/>
              <w:rPr>
                <w:rFonts w:ascii="宋体"/>
                <w:bCs/>
                <w:kern w:val="0"/>
                <w:szCs w:val="21"/>
                <w:lang w:val="zh-CN"/>
              </w:rPr>
            </w:pPr>
            <w:r>
              <w:rPr>
                <w:rFonts w:hint="eastAsia" w:ascii="宋体" w:hAnsi="宋体"/>
                <w:bCs/>
                <w:kern w:val="0"/>
                <w:szCs w:val="21"/>
                <w:lang w:val="zh-CN"/>
              </w:rPr>
              <w:t>构件表面局部有轻微开裂,或后装防滑条及其他配件局部有轻微锈蚀，或踏步及防滑条涂层局部轻微老化、磨损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少量构件表面有变形、腐朽、锈蚀、蛀蚀、残缺、破损，或龙骨有变形，或构件表面局部明显开裂，或各组成部分连接处局部有松动或轻微的相对变形，或个别后装防滑条及其他配件装饰等断裂、松动、变形、腐朽、破损，或多处金属配件明显锈蚀或局部严重锈蚀，或多处踏步及防滑条涂层轻微老化、磨损，或底层局部或部分墙面受潮、泛碱，或底层地面局部或部分受潮、木地板局部或部分腐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34"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704" w:type="dxa"/>
            <w:vAlign w:val="center"/>
          </w:tcPr>
          <w:p>
            <w:pPr>
              <w:ind w:firstLine="420" w:firstLineChars="200"/>
              <w:rPr>
                <w:rFonts w:ascii="宋体"/>
                <w:bCs/>
                <w:kern w:val="0"/>
                <w:szCs w:val="21"/>
                <w:lang w:val="zh-CN"/>
              </w:rPr>
            </w:pPr>
            <w:r>
              <w:rPr>
                <w:rFonts w:hint="eastAsia" w:ascii="宋体" w:hAnsi="宋体"/>
                <w:bCs/>
                <w:kern w:val="0"/>
                <w:szCs w:val="21"/>
                <w:lang w:val="zh-CN"/>
              </w:rPr>
              <w:t>多处构件表面有弓凸变形或开裂、变形、腐朽、锈蚀、蛀蚀、残缺、破损，或多处龙骨明显变形，或多处龙骨表面严重裂缝，或多处组成部分连接处有明显的松动或相对变形，或少量后装防滑条及其他配件装饰等断裂、松动、变形、腐朽、破损，或多处金属配件严重锈蚀或部分缺失，或多处踏步及防滑条涂层严重老化、磨损，或底层墙面大面积受潮、泛碱，或底层地面大面积受潮、木地板大面积腐烂</w:t>
            </w:r>
          </w:p>
        </w:tc>
      </w:tr>
      <w:bookmarkEnd w:id="75"/>
      <w:bookmarkEnd w:id="76"/>
      <w:bookmarkEnd w:id="80"/>
      <w:bookmarkEnd w:id="81"/>
      <w:bookmarkEnd w:id="82"/>
      <w:bookmarkEnd w:id="88"/>
    </w:tbl>
    <w:p>
      <w:pPr>
        <w:pStyle w:val="3"/>
        <w:numPr>
          <w:ilvl w:val="1"/>
          <w:numId w:val="1"/>
        </w:numPr>
        <w:ind w:left="0" w:firstLine="0"/>
        <w:rPr>
          <w:rFonts w:eastAsiaTheme="minorEastAsia"/>
        </w:rPr>
      </w:pPr>
      <w:r>
        <w:rPr>
          <w:rFonts w:hint="eastAsia" w:eastAsiaTheme="minorEastAsia"/>
        </w:rPr>
        <w:t>地基基础</w:t>
      </w:r>
    </w:p>
    <w:p>
      <w:pPr>
        <w:pStyle w:val="4"/>
        <w:numPr>
          <w:ilvl w:val="2"/>
          <w:numId w:val="1"/>
        </w:numPr>
        <w:ind w:left="0" w:firstLine="0"/>
        <w:rPr>
          <w:kern w:val="0"/>
          <w:lang w:val="zh-CN"/>
        </w:rPr>
      </w:pPr>
      <w:r>
        <w:rPr>
          <w:rFonts w:hint="eastAsia"/>
          <w:kern w:val="0"/>
          <w:lang w:val="zh-CN"/>
        </w:rPr>
        <w:t>地基基础完损等级的评定，可通过上部结构的倾斜及损坏现象进行间接评定，必要时应进行开挖检查的直接评定。</w:t>
      </w:r>
    </w:p>
    <w:p>
      <w:pPr>
        <w:pStyle w:val="4"/>
        <w:numPr>
          <w:ilvl w:val="2"/>
          <w:numId w:val="1"/>
        </w:numPr>
        <w:ind w:left="0" w:firstLine="0"/>
        <w:rPr>
          <w:kern w:val="0"/>
          <w:lang w:val="zh-CN"/>
        </w:rPr>
      </w:pPr>
      <w:r>
        <w:rPr>
          <w:rFonts w:hint="eastAsia"/>
          <w:kern w:val="0"/>
          <w:lang w:val="zh-CN"/>
        </w:rPr>
        <w:t>当进行间接检查评定时，上部结构的状况检查应包括下列主要内容：</w:t>
      </w:r>
    </w:p>
    <w:p>
      <w:pPr>
        <w:pStyle w:val="74"/>
        <w:rPr>
          <w:kern w:val="0"/>
        </w:rPr>
      </w:pPr>
      <w:r>
        <w:rPr>
          <w:kern w:val="0"/>
        </w:rPr>
        <w:t xml:space="preserve">1 </w:t>
      </w:r>
      <w:r>
        <w:rPr>
          <w:rFonts w:hint="eastAsia"/>
          <w:kern w:val="0"/>
        </w:rPr>
        <w:t>倾斜情况；</w:t>
      </w:r>
    </w:p>
    <w:p>
      <w:pPr>
        <w:pStyle w:val="74"/>
      </w:pPr>
      <w:r>
        <w:t xml:space="preserve">2 </w:t>
      </w:r>
      <w:r>
        <w:rPr>
          <w:rFonts w:hint="eastAsia"/>
        </w:rPr>
        <w:t>因地基不均匀沉降引起的开裂变形情况；</w:t>
      </w:r>
    </w:p>
    <w:p>
      <w:pPr>
        <w:pStyle w:val="74"/>
      </w:pPr>
      <w:r>
        <w:t xml:space="preserve">3 </w:t>
      </w:r>
      <w:r>
        <w:rPr>
          <w:rFonts w:hint="eastAsia"/>
        </w:rPr>
        <w:t>室内外管道差异变形情况；</w:t>
      </w:r>
    </w:p>
    <w:p>
      <w:pPr>
        <w:pStyle w:val="74"/>
      </w:pPr>
      <w:r>
        <w:t xml:space="preserve">4 </w:t>
      </w:r>
      <w:r>
        <w:rPr>
          <w:rFonts w:hint="eastAsia"/>
        </w:rPr>
        <w:t>底层室内外倒泛水情况。</w:t>
      </w:r>
    </w:p>
    <w:p>
      <w:pPr>
        <w:pStyle w:val="4"/>
        <w:numPr>
          <w:ilvl w:val="2"/>
          <w:numId w:val="1"/>
        </w:numPr>
        <w:ind w:left="0" w:firstLine="0"/>
        <w:rPr>
          <w:kern w:val="0"/>
          <w:lang w:val="zh-CN"/>
        </w:rPr>
      </w:pPr>
      <w:r>
        <w:rPr>
          <w:rFonts w:hint="eastAsia"/>
          <w:kern w:val="0"/>
          <w:lang w:val="zh-CN"/>
        </w:rPr>
        <w:t>当进行间接评定时，地基基础的完损等级应按表</w:t>
      </w:r>
      <w:r>
        <w:rPr>
          <w:kern w:val="0"/>
          <w:lang w:val="zh-CN"/>
        </w:rPr>
        <w:t>4.</w:t>
      </w:r>
      <w:r>
        <w:rPr>
          <w:rFonts w:hint="eastAsia"/>
          <w:kern w:val="0"/>
          <w:lang w:val="zh-CN"/>
        </w:rPr>
        <w:t>7</w:t>
      </w:r>
      <w:r>
        <w:rPr>
          <w:kern w:val="0"/>
          <w:lang w:val="zh-CN"/>
        </w:rPr>
        <w:t>.3</w:t>
      </w:r>
      <w:r>
        <w:rPr>
          <w:rFonts w:hint="eastAsia"/>
          <w:kern w:val="0"/>
          <w:lang w:val="zh-CN"/>
        </w:rPr>
        <w:t>进行评定。</w:t>
      </w:r>
    </w:p>
    <w:p>
      <w:pPr>
        <w:pStyle w:val="78"/>
        <w:rPr>
          <w:kern w:val="0"/>
        </w:rPr>
      </w:pPr>
      <w:r>
        <w:rPr>
          <w:rFonts w:hint="eastAsia"/>
          <w:kern w:val="0"/>
        </w:rPr>
        <w:t>表</w:t>
      </w:r>
      <w:r>
        <w:rPr>
          <w:kern w:val="0"/>
        </w:rPr>
        <w:t>4.</w:t>
      </w:r>
      <w:r>
        <w:rPr>
          <w:rFonts w:hint="eastAsia"/>
          <w:kern w:val="0"/>
        </w:rPr>
        <w:t>7</w:t>
      </w:r>
      <w:r>
        <w:rPr>
          <w:kern w:val="0"/>
        </w:rPr>
        <w:t>.3</w:t>
      </w:r>
      <w:r>
        <w:rPr>
          <w:rFonts w:hint="eastAsia"/>
          <w:kern w:val="0"/>
        </w:rPr>
        <w:t>地基基础完损等级间接评定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72"/>
        <w:gridCol w:w="947"/>
        <w:gridCol w:w="1095"/>
        <w:gridCol w:w="1013"/>
        <w:gridCol w:w="42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vMerge w:val="restart"/>
            <w:vAlign w:val="center"/>
          </w:tcPr>
          <w:p>
            <w:pPr>
              <w:jc w:val="center"/>
              <w:rPr>
                <w:bCs/>
                <w:kern w:val="0"/>
                <w:szCs w:val="21"/>
                <w:lang w:val="zh-CN"/>
              </w:rPr>
            </w:pPr>
            <w:r>
              <w:rPr>
                <w:bCs/>
                <w:kern w:val="0"/>
                <w:szCs w:val="21"/>
                <w:lang w:val="zh-CN"/>
              </w:rPr>
              <w:t>完损等级</w:t>
            </w:r>
          </w:p>
        </w:tc>
        <w:tc>
          <w:tcPr>
            <w:tcW w:w="3153" w:type="dxa"/>
            <w:gridSpan w:val="3"/>
            <w:vAlign w:val="center"/>
          </w:tcPr>
          <w:p>
            <w:pPr>
              <w:jc w:val="center"/>
              <w:rPr>
                <w:bCs/>
                <w:kern w:val="0"/>
                <w:szCs w:val="21"/>
                <w:lang w:val="zh-CN"/>
              </w:rPr>
            </w:pPr>
            <w:r>
              <w:rPr>
                <w:bCs/>
                <w:kern w:val="0"/>
                <w:szCs w:val="21"/>
                <w:lang w:val="zh-CN"/>
              </w:rPr>
              <w:t>倾斜率（‰）</w:t>
            </w:r>
          </w:p>
        </w:tc>
        <w:tc>
          <w:tcPr>
            <w:tcW w:w="4827" w:type="dxa"/>
            <w:vMerge w:val="restart"/>
            <w:vAlign w:val="center"/>
          </w:tcPr>
          <w:p>
            <w:pPr>
              <w:jc w:val="center"/>
              <w:rPr>
                <w:bCs/>
                <w:kern w:val="0"/>
                <w:szCs w:val="21"/>
                <w:lang w:val="zh-CN"/>
              </w:rPr>
            </w:pPr>
            <w:r>
              <w:rPr>
                <w:bCs/>
                <w:kern w:val="0"/>
                <w:szCs w:val="21"/>
                <w:lang w:val="zh-CN"/>
              </w:rPr>
              <w:t>地上部分损坏</w:t>
            </w:r>
            <w:r>
              <w:rPr>
                <w:rFonts w:hAnsi="宋体"/>
                <w:bCs/>
                <w:kern w:val="0"/>
                <w:szCs w:val="21"/>
                <w:lang w:val="zh-CN"/>
              </w:rPr>
              <w:t>状况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vMerge w:val="continue"/>
            <w:vAlign w:val="center"/>
          </w:tcPr>
          <w:p>
            <w:pPr>
              <w:jc w:val="center"/>
              <w:rPr>
                <w:bCs/>
                <w:kern w:val="0"/>
                <w:szCs w:val="21"/>
                <w:lang w:val="zh-CN"/>
              </w:rPr>
            </w:pPr>
          </w:p>
        </w:tc>
        <w:tc>
          <w:tcPr>
            <w:tcW w:w="963" w:type="dxa"/>
            <w:vAlign w:val="center"/>
          </w:tcPr>
          <w:p>
            <w:pPr>
              <w:jc w:val="center"/>
              <w:rPr>
                <w:bCs/>
                <w:kern w:val="0"/>
                <w:szCs w:val="21"/>
                <w:lang w:val="zh-CN"/>
              </w:rPr>
            </w:pPr>
            <w:r>
              <w:rPr>
                <w:bCs/>
                <w:kern w:val="0"/>
                <w:szCs w:val="21"/>
                <w:lang w:val="zh-CN"/>
              </w:rPr>
              <w:t>H≤24m</w:t>
            </w:r>
          </w:p>
        </w:tc>
        <w:tc>
          <w:tcPr>
            <w:tcW w:w="1139" w:type="dxa"/>
            <w:vAlign w:val="center"/>
          </w:tcPr>
          <w:p>
            <w:pPr>
              <w:jc w:val="center"/>
              <w:rPr>
                <w:bCs/>
                <w:kern w:val="0"/>
                <w:szCs w:val="21"/>
                <w:lang w:val="zh-CN"/>
              </w:rPr>
            </w:pPr>
            <w:r>
              <w:rPr>
                <w:bCs/>
                <w:kern w:val="0"/>
                <w:szCs w:val="21"/>
                <w:lang w:val="zh-CN"/>
              </w:rPr>
              <w:t>24m＜H≤60m</w:t>
            </w:r>
          </w:p>
        </w:tc>
        <w:tc>
          <w:tcPr>
            <w:tcW w:w="1051" w:type="dxa"/>
            <w:vAlign w:val="center"/>
          </w:tcPr>
          <w:p>
            <w:pPr>
              <w:jc w:val="center"/>
              <w:rPr>
                <w:bCs/>
                <w:kern w:val="0"/>
                <w:szCs w:val="21"/>
                <w:lang w:val="zh-CN"/>
              </w:rPr>
            </w:pPr>
            <w:r>
              <w:rPr>
                <w:bCs/>
                <w:kern w:val="0"/>
                <w:szCs w:val="21"/>
                <w:lang w:val="zh-CN"/>
              </w:rPr>
              <w:t>H＞60m</w:t>
            </w:r>
          </w:p>
        </w:tc>
        <w:tc>
          <w:tcPr>
            <w:tcW w:w="4827" w:type="dxa"/>
            <w:vMerge w:val="continue"/>
            <w:vAlign w:val="center"/>
          </w:tcPr>
          <w:p>
            <w:pPr>
              <w:jc w:val="center"/>
              <w:rPr>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vAlign w:val="center"/>
          </w:tcPr>
          <w:p>
            <w:pPr>
              <w:jc w:val="center"/>
              <w:rPr>
                <w:bCs/>
                <w:kern w:val="0"/>
                <w:szCs w:val="21"/>
                <w:lang w:val="zh-CN"/>
              </w:rPr>
            </w:pPr>
            <w:r>
              <w:rPr>
                <w:rFonts w:hAnsi="宋体"/>
                <w:bCs/>
                <w:kern w:val="0"/>
                <w:szCs w:val="21"/>
                <w:lang w:val="zh-CN"/>
              </w:rPr>
              <w:t>①级</w:t>
            </w:r>
          </w:p>
        </w:tc>
        <w:tc>
          <w:tcPr>
            <w:tcW w:w="963" w:type="dxa"/>
            <w:vAlign w:val="center"/>
          </w:tcPr>
          <w:p>
            <w:pPr>
              <w:jc w:val="center"/>
              <w:rPr>
                <w:bCs/>
                <w:kern w:val="0"/>
                <w:szCs w:val="21"/>
                <w:lang w:val="zh-CN"/>
              </w:rPr>
            </w:pPr>
            <w:r>
              <w:rPr>
                <w:bCs/>
                <w:kern w:val="0"/>
                <w:szCs w:val="21"/>
                <w:lang w:val="zh-CN"/>
              </w:rPr>
              <w:t>＜4.0</w:t>
            </w:r>
          </w:p>
        </w:tc>
        <w:tc>
          <w:tcPr>
            <w:tcW w:w="1139" w:type="dxa"/>
            <w:vAlign w:val="center"/>
          </w:tcPr>
          <w:p>
            <w:pPr>
              <w:jc w:val="center"/>
              <w:rPr>
                <w:bCs/>
                <w:kern w:val="0"/>
                <w:szCs w:val="21"/>
                <w:lang w:val="zh-CN"/>
              </w:rPr>
            </w:pPr>
            <w:r>
              <w:rPr>
                <w:bCs/>
                <w:kern w:val="0"/>
                <w:szCs w:val="21"/>
                <w:lang w:val="zh-CN"/>
              </w:rPr>
              <w:t>＜2.5</w:t>
            </w:r>
          </w:p>
        </w:tc>
        <w:tc>
          <w:tcPr>
            <w:tcW w:w="1051" w:type="dxa"/>
            <w:vAlign w:val="center"/>
          </w:tcPr>
          <w:p>
            <w:pPr>
              <w:jc w:val="center"/>
              <w:rPr>
                <w:bCs/>
                <w:kern w:val="0"/>
                <w:szCs w:val="21"/>
                <w:lang w:val="zh-CN"/>
              </w:rPr>
            </w:pPr>
            <w:r>
              <w:rPr>
                <w:bCs/>
                <w:kern w:val="0"/>
                <w:szCs w:val="21"/>
                <w:lang w:val="zh-CN"/>
              </w:rPr>
              <w:t>＜1.0</w:t>
            </w:r>
          </w:p>
        </w:tc>
        <w:tc>
          <w:tcPr>
            <w:tcW w:w="4827" w:type="dxa"/>
            <w:vAlign w:val="center"/>
          </w:tcPr>
          <w:p>
            <w:pPr>
              <w:ind w:firstLine="420" w:firstLineChars="200"/>
              <w:jc w:val="left"/>
              <w:rPr>
                <w:szCs w:val="21"/>
              </w:rPr>
            </w:pPr>
            <w:r>
              <w:rPr>
                <w:bCs/>
                <w:kern w:val="0"/>
                <w:szCs w:val="21"/>
                <w:lang w:val="zh-CN"/>
              </w:rPr>
              <w:t>且无因地基不均匀沉降原因引起的开裂变形现象，室内外管道无差异变形现象，底层室内外无倒泛水现象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vAlign w:val="center"/>
          </w:tcPr>
          <w:p>
            <w:pPr>
              <w:jc w:val="center"/>
              <w:rPr>
                <w:bCs/>
                <w:kern w:val="0"/>
                <w:szCs w:val="21"/>
                <w:lang w:val="zh-CN"/>
              </w:rPr>
            </w:pPr>
            <w:r>
              <w:rPr>
                <w:rFonts w:hAnsi="宋体"/>
                <w:bCs/>
                <w:kern w:val="0"/>
                <w:szCs w:val="21"/>
                <w:lang w:val="zh-CN"/>
              </w:rPr>
              <w:t>②级</w:t>
            </w:r>
          </w:p>
        </w:tc>
        <w:tc>
          <w:tcPr>
            <w:tcW w:w="963" w:type="dxa"/>
            <w:vAlign w:val="center"/>
          </w:tcPr>
          <w:p>
            <w:pPr>
              <w:jc w:val="center"/>
              <w:rPr>
                <w:bCs/>
                <w:kern w:val="0"/>
                <w:szCs w:val="21"/>
                <w:lang w:val="zh-CN"/>
              </w:rPr>
            </w:pPr>
            <w:r>
              <w:rPr>
                <w:bCs/>
                <w:kern w:val="0"/>
                <w:szCs w:val="21"/>
                <w:lang w:val="zh-CN"/>
              </w:rPr>
              <w:t>≥4.0，＜7.0</w:t>
            </w:r>
          </w:p>
        </w:tc>
        <w:tc>
          <w:tcPr>
            <w:tcW w:w="1139" w:type="dxa"/>
            <w:vAlign w:val="center"/>
          </w:tcPr>
          <w:p>
            <w:pPr>
              <w:jc w:val="center"/>
              <w:rPr>
                <w:bCs/>
                <w:kern w:val="0"/>
                <w:szCs w:val="21"/>
                <w:lang w:val="zh-CN"/>
              </w:rPr>
            </w:pPr>
            <w:r>
              <w:rPr>
                <w:bCs/>
                <w:kern w:val="0"/>
                <w:szCs w:val="21"/>
                <w:lang w:val="zh-CN"/>
              </w:rPr>
              <w:t>≥2.5，＜4.0</w:t>
            </w:r>
          </w:p>
        </w:tc>
        <w:tc>
          <w:tcPr>
            <w:tcW w:w="1051" w:type="dxa"/>
            <w:vAlign w:val="center"/>
          </w:tcPr>
          <w:p>
            <w:pPr>
              <w:jc w:val="center"/>
              <w:rPr>
                <w:bCs/>
                <w:kern w:val="0"/>
                <w:szCs w:val="21"/>
                <w:lang w:val="zh-CN"/>
              </w:rPr>
            </w:pPr>
            <w:r>
              <w:rPr>
                <w:bCs/>
                <w:kern w:val="0"/>
                <w:szCs w:val="21"/>
                <w:lang w:val="zh-CN"/>
              </w:rPr>
              <w:t>≥1.0，＜2.0</w:t>
            </w:r>
          </w:p>
        </w:tc>
        <w:tc>
          <w:tcPr>
            <w:tcW w:w="4827" w:type="dxa"/>
            <w:vAlign w:val="center"/>
          </w:tcPr>
          <w:p>
            <w:pPr>
              <w:ind w:firstLine="420" w:firstLineChars="200"/>
              <w:jc w:val="left"/>
              <w:rPr>
                <w:bCs/>
                <w:kern w:val="0"/>
                <w:szCs w:val="21"/>
                <w:lang w:val="zh-CN"/>
              </w:rPr>
            </w:pPr>
            <w:r>
              <w:rPr>
                <w:bCs/>
                <w:kern w:val="0"/>
                <w:szCs w:val="21"/>
                <w:lang w:val="zh-CN"/>
              </w:rPr>
              <w:t>且无因地基不均匀沉降原因引起的开裂变形现象，室内外管道轻微差异变形，底层室内外无倒泛水现象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vAlign w:val="center"/>
          </w:tcPr>
          <w:p>
            <w:pPr>
              <w:jc w:val="center"/>
              <w:rPr>
                <w:bCs/>
                <w:kern w:val="0"/>
                <w:szCs w:val="21"/>
                <w:lang w:val="zh-CN"/>
              </w:rPr>
            </w:pPr>
            <w:r>
              <w:rPr>
                <w:rFonts w:hAnsi="宋体"/>
                <w:bCs/>
                <w:kern w:val="0"/>
                <w:szCs w:val="21"/>
                <w:lang w:val="zh-CN"/>
              </w:rPr>
              <w:t>③级</w:t>
            </w:r>
          </w:p>
        </w:tc>
        <w:tc>
          <w:tcPr>
            <w:tcW w:w="963" w:type="dxa"/>
            <w:vAlign w:val="center"/>
          </w:tcPr>
          <w:p>
            <w:pPr>
              <w:jc w:val="center"/>
              <w:rPr>
                <w:bCs/>
                <w:kern w:val="0"/>
                <w:szCs w:val="21"/>
                <w:lang w:val="zh-CN"/>
              </w:rPr>
            </w:pPr>
            <w:r>
              <w:rPr>
                <w:bCs/>
                <w:kern w:val="0"/>
                <w:szCs w:val="21"/>
                <w:lang w:val="zh-CN"/>
              </w:rPr>
              <w:t>≥7.0，＜10.0</w:t>
            </w:r>
          </w:p>
        </w:tc>
        <w:tc>
          <w:tcPr>
            <w:tcW w:w="1139" w:type="dxa"/>
            <w:vAlign w:val="center"/>
          </w:tcPr>
          <w:p>
            <w:pPr>
              <w:jc w:val="center"/>
              <w:rPr>
                <w:bCs/>
                <w:kern w:val="0"/>
                <w:szCs w:val="21"/>
                <w:lang w:val="zh-CN"/>
              </w:rPr>
            </w:pPr>
            <w:r>
              <w:rPr>
                <w:bCs/>
                <w:kern w:val="0"/>
                <w:szCs w:val="21"/>
                <w:lang w:val="zh-CN"/>
              </w:rPr>
              <w:t>≥4.0，＜5.0</w:t>
            </w:r>
          </w:p>
        </w:tc>
        <w:tc>
          <w:tcPr>
            <w:tcW w:w="1051" w:type="dxa"/>
            <w:vAlign w:val="center"/>
          </w:tcPr>
          <w:p>
            <w:pPr>
              <w:jc w:val="center"/>
              <w:rPr>
                <w:bCs/>
                <w:kern w:val="0"/>
                <w:szCs w:val="21"/>
                <w:lang w:val="zh-CN"/>
              </w:rPr>
            </w:pPr>
            <w:r>
              <w:rPr>
                <w:bCs/>
                <w:kern w:val="0"/>
                <w:szCs w:val="21"/>
                <w:lang w:val="zh-CN"/>
              </w:rPr>
              <w:t>≥2.0，＜3.5</w:t>
            </w:r>
          </w:p>
        </w:tc>
        <w:tc>
          <w:tcPr>
            <w:tcW w:w="4827" w:type="dxa"/>
            <w:vAlign w:val="center"/>
          </w:tcPr>
          <w:p>
            <w:pPr>
              <w:ind w:firstLine="420" w:firstLineChars="200"/>
              <w:jc w:val="left"/>
              <w:rPr>
                <w:bCs/>
                <w:kern w:val="0"/>
                <w:szCs w:val="21"/>
                <w:lang w:val="zh-CN"/>
              </w:rPr>
            </w:pPr>
            <w:r>
              <w:rPr>
                <w:bCs/>
                <w:kern w:val="0"/>
                <w:szCs w:val="21"/>
                <w:lang w:val="zh-CN"/>
              </w:rPr>
              <w:t>或墙体存在少量因地基不均匀沉降原因引起的开裂变形现象，室内外管道明显变形，室内外存在轻微倒泛水现象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vAlign w:val="center"/>
          </w:tcPr>
          <w:p>
            <w:pPr>
              <w:jc w:val="center"/>
              <w:rPr>
                <w:bCs/>
                <w:kern w:val="0"/>
                <w:szCs w:val="21"/>
                <w:lang w:val="zh-CN"/>
              </w:rPr>
            </w:pPr>
            <w:r>
              <w:rPr>
                <w:rFonts w:hAnsi="宋体"/>
                <w:bCs/>
                <w:kern w:val="0"/>
                <w:szCs w:val="21"/>
                <w:lang w:val="zh-CN"/>
              </w:rPr>
              <w:t>④级</w:t>
            </w:r>
          </w:p>
        </w:tc>
        <w:tc>
          <w:tcPr>
            <w:tcW w:w="963" w:type="dxa"/>
            <w:vAlign w:val="center"/>
          </w:tcPr>
          <w:p>
            <w:pPr>
              <w:jc w:val="center"/>
              <w:rPr>
                <w:bCs/>
                <w:kern w:val="0"/>
                <w:szCs w:val="21"/>
                <w:lang w:val="zh-CN"/>
              </w:rPr>
            </w:pPr>
            <w:r>
              <w:rPr>
                <w:bCs/>
                <w:kern w:val="0"/>
                <w:szCs w:val="21"/>
                <w:lang w:val="zh-CN"/>
              </w:rPr>
              <w:t>≥10.0</w:t>
            </w:r>
          </w:p>
        </w:tc>
        <w:tc>
          <w:tcPr>
            <w:tcW w:w="1139" w:type="dxa"/>
            <w:vAlign w:val="center"/>
          </w:tcPr>
          <w:p>
            <w:pPr>
              <w:jc w:val="center"/>
              <w:rPr>
                <w:bCs/>
                <w:kern w:val="0"/>
                <w:szCs w:val="21"/>
                <w:lang w:val="zh-CN"/>
              </w:rPr>
            </w:pPr>
            <w:r>
              <w:rPr>
                <w:bCs/>
                <w:kern w:val="0"/>
                <w:szCs w:val="21"/>
                <w:lang w:val="zh-CN"/>
              </w:rPr>
              <w:t>≥5.0</w:t>
            </w:r>
          </w:p>
        </w:tc>
        <w:tc>
          <w:tcPr>
            <w:tcW w:w="1051" w:type="dxa"/>
            <w:vAlign w:val="center"/>
          </w:tcPr>
          <w:p>
            <w:pPr>
              <w:jc w:val="center"/>
              <w:rPr>
                <w:bCs/>
                <w:kern w:val="0"/>
                <w:szCs w:val="21"/>
                <w:lang w:val="zh-CN"/>
              </w:rPr>
            </w:pPr>
            <w:r>
              <w:rPr>
                <w:bCs/>
                <w:kern w:val="0"/>
                <w:szCs w:val="21"/>
                <w:lang w:val="zh-CN"/>
              </w:rPr>
              <w:t>≥3.5</w:t>
            </w:r>
          </w:p>
        </w:tc>
        <w:tc>
          <w:tcPr>
            <w:tcW w:w="4827" w:type="dxa"/>
            <w:vAlign w:val="center"/>
          </w:tcPr>
          <w:p>
            <w:pPr>
              <w:ind w:firstLine="420" w:firstLineChars="200"/>
              <w:jc w:val="left"/>
              <w:rPr>
                <w:bCs/>
                <w:kern w:val="0"/>
                <w:szCs w:val="21"/>
                <w:lang w:val="zh-CN"/>
              </w:rPr>
            </w:pPr>
            <w:r>
              <w:rPr>
                <w:bCs/>
                <w:kern w:val="0"/>
                <w:szCs w:val="21"/>
                <w:lang w:val="zh-CN"/>
              </w:rPr>
              <w:t>且墙体存在多处因地基不均匀沉降原因引起的开裂变形现象，室内外管道严重变形，室内外存在明显倒泛水现象</w:t>
            </w:r>
          </w:p>
        </w:tc>
      </w:tr>
    </w:tbl>
    <w:p>
      <w:pPr>
        <w:spacing w:line="276" w:lineRule="auto"/>
        <w:rPr>
          <w:color w:val="000000"/>
          <w:kern w:val="0"/>
          <w:szCs w:val="21"/>
        </w:rPr>
      </w:pPr>
      <w:r>
        <w:rPr>
          <w:rFonts w:hint="eastAsia"/>
          <w:lang w:val="zh-CN"/>
        </w:rPr>
        <w:t>注</w:t>
      </w:r>
      <w:r>
        <w:rPr>
          <w:rFonts w:hint="eastAsia"/>
        </w:rPr>
        <w:t>：</w:t>
      </w:r>
      <w:r>
        <w:rPr>
          <w:i/>
          <w:color w:val="000000"/>
          <w:kern w:val="0"/>
          <w:szCs w:val="21"/>
        </w:rPr>
        <w:t>H</w:t>
      </w:r>
      <w:r>
        <w:rPr>
          <w:color w:val="000000"/>
          <w:kern w:val="0"/>
          <w:szCs w:val="21"/>
        </w:rPr>
        <w:t>—</w:t>
      </w:r>
      <w:r>
        <w:rPr>
          <w:rFonts w:hint="eastAsia"/>
          <w:color w:val="000000"/>
          <w:kern w:val="0"/>
          <w:szCs w:val="21"/>
        </w:rPr>
        <w:t>房屋高度。</w:t>
      </w:r>
    </w:p>
    <w:p>
      <w:pPr>
        <w:pStyle w:val="4"/>
        <w:numPr>
          <w:ilvl w:val="2"/>
          <w:numId w:val="1"/>
        </w:numPr>
        <w:ind w:left="0" w:firstLine="0"/>
        <w:rPr>
          <w:kern w:val="0"/>
          <w:lang w:val="zh-CN"/>
        </w:rPr>
      </w:pPr>
      <w:r>
        <w:rPr>
          <w:rFonts w:hint="eastAsia"/>
          <w:kern w:val="0"/>
          <w:lang w:val="zh-CN"/>
        </w:rPr>
        <w:t>当进行直接检查评定时，浅基础的完损状况检查应包括下列主要内容：</w:t>
      </w:r>
    </w:p>
    <w:p>
      <w:pPr>
        <w:pStyle w:val="74"/>
        <w:rPr>
          <w:kern w:val="0"/>
          <w:szCs w:val="20"/>
        </w:rPr>
      </w:pPr>
      <w:r>
        <w:rPr>
          <w:kern w:val="0"/>
        </w:rPr>
        <w:t xml:space="preserve">1 </w:t>
      </w:r>
      <w:r>
        <w:rPr>
          <w:rFonts w:hint="eastAsia"/>
          <w:kern w:val="0"/>
        </w:rPr>
        <w:t>混凝土基础构件表观缺陷，以及开裂、露筋、锈胀、保护层脱落等情况；</w:t>
      </w:r>
    </w:p>
    <w:p>
      <w:pPr>
        <w:pStyle w:val="74"/>
      </w:pPr>
      <w:r>
        <w:t xml:space="preserve">2 </w:t>
      </w:r>
      <w:r>
        <w:rPr>
          <w:rFonts w:hint="eastAsia"/>
        </w:rPr>
        <w:t>砌体刚性基础块材平整程度、砂浆饱满程度，以及开裂、酥碱等情况。</w:t>
      </w:r>
    </w:p>
    <w:p>
      <w:pPr>
        <w:pStyle w:val="4"/>
        <w:numPr>
          <w:ilvl w:val="2"/>
          <w:numId w:val="1"/>
        </w:numPr>
        <w:ind w:left="0" w:firstLine="0"/>
        <w:rPr>
          <w:kern w:val="0"/>
          <w:lang w:val="zh-CN"/>
        </w:rPr>
      </w:pPr>
      <w:r>
        <w:rPr>
          <w:rFonts w:hint="eastAsia"/>
          <w:kern w:val="0"/>
          <w:lang w:val="zh-CN"/>
        </w:rPr>
        <w:t>当进行直接评定时，钢筋混凝土浅基础及砌体刚性基础的完损等级，应分别按表</w:t>
      </w:r>
      <w:r>
        <w:rPr>
          <w:kern w:val="0"/>
          <w:lang w:val="zh-CN"/>
        </w:rPr>
        <w:t>4.</w:t>
      </w:r>
      <w:r>
        <w:rPr>
          <w:rFonts w:hint="eastAsia"/>
          <w:kern w:val="0"/>
          <w:lang w:val="zh-CN"/>
        </w:rPr>
        <w:t>7</w:t>
      </w:r>
      <w:r>
        <w:rPr>
          <w:kern w:val="0"/>
          <w:lang w:val="zh-CN"/>
        </w:rPr>
        <w:t>.5-1</w:t>
      </w:r>
      <w:r>
        <w:rPr>
          <w:rFonts w:hint="eastAsia"/>
          <w:kern w:val="0"/>
          <w:lang w:val="zh-CN"/>
        </w:rPr>
        <w:t>及表</w:t>
      </w:r>
      <w:r>
        <w:rPr>
          <w:kern w:val="0"/>
          <w:lang w:val="zh-CN"/>
        </w:rPr>
        <w:t>4.</w:t>
      </w:r>
      <w:r>
        <w:rPr>
          <w:rFonts w:hint="eastAsia"/>
          <w:kern w:val="0"/>
          <w:lang w:val="zh-CN"/>
        </w:rPr>
        <w:t>7</w:t>
      </w:r>
      <w:r>
        <w:rPr>
          <w:kern w:val="0"/>
          <w:lang w:val="zh-CN"/>
        </w:rPr>
        <w:t>.5-2</w:t>
      </w:r>
      <w:r>
        <w:rPr>
          <w:rFonts w:hint="eastAsia"/>
          <w:kern w:val="0"/>
          <w:lang w:val="zh-CN"/>
        </w:rPr>
        <w:t>评定。</w:t>
      </w:r>
    </w:p>
    <w:p>
      <w:pPr>
        <w:pStyle w:val="78"/>
        <w:rPr>
          <w:kern w:val="0"/>
        </w:rPr>
      </w:pPr>
      <w:r>
        <w:rPr>
          <w:rFonts w:hint="eastAsia"/>
          <w:kern w:val="0"/>
        </w:rPr>
        <w:t>表</w:t>
      </w:r>
      <w:r>
        <w:rPr>
          <w:kern w:val="0"/>
        </w:rPr>
        <w:t>4.</w:t>
      </w:r>
      <w:r>
        <w:rPr>
          <w:rFonts w:hint="eastAsia"/>
          <w:kern w:val="0"/>
        </w:rPr>
        <w:t>7</w:t>
      </w:r>
      <w:r>
        <w:rPr>
          <w:kern w:val="0"/>
        </w:rPr>
        <w:t xml:space="preserve">.5-1 </w:t>
      </w:r>
      <w:r>
        <w:rPr>
          <w:rFonts w:hint="eastAsia"/>
          <w:kern w:val="0"/>
        </w:rPr>
        <w:t>钢筋混凝土浅基础完损等级直接评定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bCs/>
                <w:kern w:val="0"/>
                <w:szCs w:val="21"/>
                <w:lang w:val="zh-CN"/>
              </w:rPr>
              <w:t>①级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构件无表观缺陷，无明显开裂，无露筋、无锈胀、无保护层剥落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bCs/>
                <w:kern w:val="0"/>
                <w:szCs w:val="21"/>
                <w:lang w:val="zh-CN"/>
              </w:rPr>
              <w:t>②级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个别构件存在表观缺陷，部分构件表面细微开裂，无露筋、无锈胀、无保护层剥落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bCs/>
                <w:kern w:val="0"/>
                <w:szCs w:val="21"/>
                <w:lang w:val="zh-CN"/>
              </w:rPr>
              <w:t>③级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部分构件存在表观缺陷，部分构件有收缩裂缝，个别构件露筋、锈胀、保护层剥落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bCs/>
                <w:kern w:val="0"/>
                <w:szCs w:val="21"/>
                <w:lang w:val="zh-CN"/>
              </w:rPr>
              <w:t>④级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多处构件存在表观缺陷，多处构件有收缩裂缝，个别构件有受力裂缝，多处构件露筋、锈胀、保护层剥落</w:t>
            </w:r>
          </w:p>
        </w:tc>
      </w:tr>
    </w:tbl>
    <w:p>
      <w:pPr>
        <w:pStyle w:val="78"/>
        <w:rPr>
          <w:kern w:val="0"/>
        </w:rPr>
      </w:pPr>
    </w:p>
    <w:p>
      <w:pPr>
        <w:pStyle w:val="78"/>
        <w:rPr>
          <w:kern w:val="0"/>
        </w:rPr>
      </w:pPr>
      <w:r>
        <w:rPr>
          <w:rFonts w:hint="eastAsia"/>
          <w:kern w:val="0"/>
        </w:rPr>
        <w:t>表</w:t>
      </w:r>
      <w:r>
        <w:rPr>
          <w:kern w:val="0"/>
        </w:rPr>
        <w:t>4.</w:t>
      </w:r>
      <w:r>
        <w:rPr>
          <w:rFonts w:hint="eastAsia"/>
          <w:kern w:val="0"/>
        </w:rPr>
        <w:t>7</w:t>
      </w:r>
      <w:r>
        <w:rPr>
          <w:kern w:val="0"/>
        </w:rPr>
        <w:t xml:space="preserve">.5-2 </w:t>
      </w:r>
      <w:r>
        <w:rPr>
          <w:rFonts w:hint="eastAsia"/>
          <w:kern w:val="0"/>
        </w:rPr>
        <w:t>砌体刚性基础完损等级直接评定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bCs/>
                <w:kern w:val="0"/>
                <w:szCs w:val="21"/>
                <w:lang w:val="zh-CN"/>
              </w:rPr>
              <w:t>①级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砌筑块材平整、无开裂，砌筑砂浆饱满；基础无开裂、无酥碱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bCs/>
                <w:kern w:val="0"/>
                <w:szCs w:val="21"/>
                <w:lang w:val="zh-CN"/>
              </w:rPr>
              <w:t>②级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砌筑块材平整、个别开裂，砌筑砂浆局部欠饱满；基础无开裂、无酥碱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bCs/>
                <w:kern w:val="0"/>
                <w:szCs w:val="21"/>
                <w:lang w:val="zh-CN"/>
              </w:rPr>
              <w:t>③级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砌筑块材平整、部分开裂，砌筑砂浆多处欠饱满；基础轻微开裂、轻微酥碱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bCs/>
                <w:kern w:val="0"/>
                <w:szCs w:val="21"/>
                <w:lang w:val="zh-CN"/>
              </w:rPr>
              <w:t>④级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砌筑块材多处碎裂，砌筑砂浆普遍粉化；基础多处开裂、普遍酥碱</w:t>
            </w:r>
          </w:p>
        </w:tc>
      </w:tr>
    </w:tbl>
    <w:p>
      <w:pPr>
        <w:pStyle w:val="3"/>
        <w:numPr>
          <w:ilvl w:val="1"/>
          <w:numId w:val="1"/>
        </w:numPr>
        <w:ind w:left="0" w:firstLine="0"/>
        <w:rPr>
          <w:lang w:val="zh-CN"/>
        </w:rPr>
      </w:pPr>
      <w:r>
        <w:rPr>
          <w:rFonts w:hint="eastAsia" w:eastAsiaTheme="minorEastAsia"/>
        </w:rPr>
        <w:t>上部结构</w:t>
      </w:r>
    </w:p>
    <w:p>
      <w:pPr>
        <w:pStyle w:val="4"/>
        <w:numPr>
          <w:ilvl w:val="2"/>
          <w:numId w:val="1"/>
        </w:numPr>
        <w:ind w:left="0" w:firstLine="0"/>
      </w:pPr>
      <w:r>
        <w:rPr>
          <w:rFonts w:hint="eastAsia"/>
        </w:rPr>
        <w:t>钢筋混凝土结构的完损状况检查应包括下列主要内容：</w:t>
      </w:r>
    </w:p>
    <w:p>
      <w:pPr>
        <w:pStyle w:val="74"/>
      </w:pPr>
      <w:r>
        <w:t xml:space="preserve">1 </w:t>
      </w:r>
      <w:r>
        <w:rPr>
          <w:rFonts w:hint="eastAsia"/>
        </w:rPr>
        <w:t>墙柱倾斜变形、梁板下挠变形、屋架平直度及支撑体系情况；</w:t>
      </w:r>
    </w:p>
    <w:p>
      <w:pPr>
        <w:pStyle w:val="74"/>
      </w:pPr>
      <w:r>
        <w:t xml:space="preserve">2 </w:t>
      </w:r>
      <w:r>
        <w:rPr>
          <w:rFonts w:hint="eastAsia"/>
        </w:rPr>
        <w:t>构件表观缺陷，开裂、露筋、锈胀、保护层脱落及铁件锈蚀情况；</w:t>
      </w:r>
    </w:p>
    <w:p>
      <w:pPr>
        <w:pStyle w:val="74"/>
      </w:pPr>
      <w:r>
        <w:t xml:space="preserve">3 </w:t>
      </w:r>
      <w:r>
        <w:rPr>
          <w:rFonts w:hint="eastAsia"/>
        </w:rPr>
        <w:t>屋架搁置点松动、钢拉杆锈蚀情况。</w:t>
      </w:r>
    </w:p>
    <w:p>
      <w:pPr>
        <w:pStyle w:val="4"/>
        <w:numPr>
          <w:ilvl w:val="2"/>
          <w:numId w:val="1"/>
        </w:numPr>
        <w:ind w:left="0" w:firstLine="0"/>
      </w:pPr>
      <w:r>
        <w:rPr>
          <w:rFonts w:hint="eastAsia"/>
        </w:rPr>
        <w:t>钢筋混凝土结构的完损等级应按表</w:t>
      </w:r>
      <w:r>
        <w:t>4.</w:t>
      </w:r>
      <w:r>
        <w:rPr>
          <w:rFonts w:hint="eastAsia"/>
        </w:rPr>
        <w:t>8</w:t>
      </w:r>
      <w:r>
        <w:t>.2</w:t>
      </w:r>
      <w:r>
        <w:rPr>
          <w:rFonts w:hint="eastAsia"/>
        </w:rPr>
        <w:t>评定。</w:t>
      </w:r>
    </w:p>
    <w:p>
      <w:pPr>
        <w:pStyle w:val="78"/>
        <w:rPr>
          <w:kern w:val="0"/>
        </w:rPr>
      </w:pPr>
      <w:r>
        <w:rPr>
          <w:rFonts w:hint="eastAsia"/>
          <w:kern w:val="0"/>
        </w:rPr>
        <w:t>表</w:t>
      </w:r>
      <w:r>
        <w:rPr>
          <w:kern w:val="0"/>
        </w:rPr>
        <w:t>4.</w:t>
      </w:r>
      <w:r>
        <w:rPr>
          <w:rFonts w:hint="eastAsia"/>
          <w:kern w:val="0"/>
        </w:rPr>
        <w:t>8</w:t>
      </w:r>
      <w:r>
        <w:rPr>
          <w:kern w:val="0"/>
        </w:rPr>
        <w:t>.2</w:t>
      </w:r>
      <w:r>
        <w:rPr>
          <w:rFonts w:hint="eastAsia"/>
          <w:kern w:val="0"/>
        </w:rPr>
        <w:t>钢筋混凝土结构完损等级评定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墙、柱无明显倾斜或歪扭变形，梁、板无明显下挠变形，屋架平直、支撑体系完整</w:t>
            </w:r>
          </w:p>
          <w:p>
            <w:pPr>
              <w:ind w:firstLine="420" w:firstLineChars="200"/>
              <w:rPr>
                <w:rFonts w:ascii="宋体"/>
                <w:bCs/>
                <w:kern w:val="0"/>
                <w:szCs w:val="21"/>
                <w:lang w:val="zh-CN"/>
              </w:rPr>
            </w:pPr>
            <w:r>
              <w:rPr>
                <w:rFonts w:hint="eastAsia" w:ascii="宋体" w:hAnsi="宋体"/>
                <w:bCs/>
                <w:kern w:val="0"/>
                <w:szCs w:val="21"/>
                <w:lang w:val="zh-CN"/>
              </w:rPr>
              <w:t>构件表观无缺陷，无明显开裂，无露筋、无锈胀、无保护层剥落</w:t>
            </w:r>
          </w:p>
          <w:p>
            <w:pPr>
              <w:ind w:firstLine="420" w:firstLineChars="200"/>
              <w:rPr>
                <w:rFonts w:ascii="宋体"/>
                <w:bCs/>
                <w:kern w:val="0"/>
                <w:szCs w:val="21"/>
                <w:lang w:val="zh-CN"/>
              </w:rPr>
            </w:pPr>
            <w:r>
              <w:rPr>
                <w:rFonts w:hint="eastAsia" w:ascii="宋体" w:hAnsi="宋体"/>
                <w:bCs/>
                <w:kern w:val="0"/>
                <w:szCs w:val="21"/>
                <w:lang w:val="zh-CN"/>
              </w:rPr>
              <w:t>屋架节点及搁置点无松动，钢拉杆无锈蚀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墙、柱无明显倾斜或歪扭变形，梁、板无明显下挠变形，屋架平直、支撑体系完整</w:t>
            </w:r>
          </w:p>
          <w:p>
            <w:pPr>
              <w:ind w:firstLine="420" w:firstLineChars="200"/>
              <w:rPr>
                <w:rFonts w:ascii="宋体"/>
                <w:bCs/>
                <w:kern w:val="0"/>
                <w:szCs w:val="21"/>
                <w:lang w:val="zh-CN"/>
              </w:rPr>
            </w:pPr>
            <w:r>
              <w:rPr>
                <w:rFonts w:hint="eastAsia" w:ascii="宋体" w:hAnsi="宋体"/>
                <w:bCs/>
                <w:kern w:val="0"/>
                <w:szCs w:val="21"/>
                <w:lang w:val="zh-CN"/>
              </w:rPr>
              <w:t>少量构件表观轻微缺陷，表面细微开裂，无露筋、无锈胀、无保护层剥落</w:t>
            </w:r>
          </w:p>
          <w:p>
            <w:pPr>
              <w:ind w:firstLine="420" w:firstLineChars="200"/>
              <w:rPr>
                <w:rFonts w:ascii="宋体"/>
                <w:bCs/>
                <w:kern w:val="0"/>
                <w:szCs w:val="21"/>
                <w:lang w:val="zh-CN"/>
              </w:rPr>
            </w:pPr>
            <w:r>
              <w:rPr>
                <w:rFonts w:hint="eastAsia" w:ascii="宋体" w:hAnsi="宋体"/>
                <w:bCs/>
                <w:kern w:val="0"/>
                <w:szCs w:val="21"/>
                <w:lang w:val="zh-CN"/>
              </w:rPr>
              <w:t>屋架节点及搁置点无松动，个别钢拉杆轻微锈蚀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部分墙、柱轻微倾斜或歪扭变形，梁、板轻微下挠变形，屋架轻微倾斜或下挠变形，支撑体系基本完整</w:t>
            </w:r>
          </w:p>
          <w:p>
            <w:pPr>
              <w:ind w:firstLine="420" w:firstLineChars="200"/>
              <w:rPr>
                <w:rFonts w:ascii="宋体"/>
                <w:bCs/>
                <w:kern w:val="0"/>
                <w:szCs w:val="21"/>
                <w:lang w:val="zh-CN"/>
              </w:rPr>
            </w:pPr>
            <w:r>
              <w:rPr>
                <w:rFonts w:hint="eastAsia" w:ascii="宋体" w:hAnsi="宋体"/>
                <w:bCs/>
                <w:kern w:val="0"/>
                <w:szCs w:val="21"/>
                <w:lang w:val="zh-CN"/>
              </w:rPr>
              <w:t>部分构件表观轻微缺陷，少量收缩裂缝，个别部位露筋、锈胀、保护层剥落</w:t>
            </w:r>
          </w:p>
          <w:p>
            <w:pPr>
              <w:ind w:firstLine="420" w:firstLineChars="200"/>
              <w:rPr>
                <w:rFonts w:ascii="宋体"/>
                <w:bCs/>
                <w:kern w:val="0"/>
                <w:szCs w:val="21"/>
                <w:lang w:val="zh-CN"/>
              </w:rPr>
            </w:pPr>
            <w:r>
              <w:rPr>
                <w:rFonts w:hint="eastAsia" w:ascii="宋体" w:hAnsi="宋体"/>
                <w:bCs/>
                <w:kern w:val="0"/>
                <w:szCs w:val="21"/>
                <w:lang w:val="zh-CN"/>
              </w:rPr>
              <w:t>屋架节点及搁置点轻微松动，钢拉杆普遍轻微锈蚀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部分墙、柱明显倾斜或歪扭变形，梁、板明显下挠变形，屋架明显倾斜或下挠变形，支撑体系不完整</w:t>
            </w:r>
          </w:p>
          <w:p>
            <w:pPr>
              <w:ind w:firstLine="420" w:firstLineChars="200"/>
              <w:rPr>
                <w:rFonts w:ascii="宋体"/>
                <w:bCs/>
                <w:kern w:val="0"/>
                <w:szCs w:val="21"/>
                <w:lang w:val="zh-CN"/>
              </w:rPr>
            </w:pPr>
            <w:r>
              <w:rPr>
                <w:rFonts w:hint="eastAsia" w:ascii="宋体" w:hAnsi="宋体"/>
                <w:bCs/>
                <w:kern w:val="0"/>
                <w:szCs w:val="21"/>
                <w:lang w:val="zh-CN"/>
              </w:rPr>
              <w:t>多处构件表观明显缺陷，多处收缩裂缝，个别构件有受力裂缝，多处露筋、锈胀、保护层剥落</w:t>
            </w:r>
          </w:p>
          <w:p>
            <w:pPr>
              <w:ind w:firstLine="420" w:firstLineChars="200"/>
              <w:rPr>
                <w:rFonts w:ascii="宋体"/>
                <w:bCs/>
                <w:kern w:val="0"/>
                <w:szCs w:val="21"/>
                <w:lang w:val="zh-CN"/>
              </w:rPr>
            </w:pPr>
            <w:r>
              <w:rPr>
                <w:rFonts w:hint="eastAsia" w:ascii="宋体" w:hAnsi="宋体"/>
                <w:bCs/>
                <w:kern w:val="0"/>
                <w:szCs w:val="21"/>
                <w:lang w:val="zh-CN"/>
              </w:rPr>
              <w:t>屋架节点或搁置点明显松动，钢拉杆明显锈蚀</w:t>
            </w:r>
          </w:p>
        </w:tc>
      </w:tr>
    </w:tbl>
    <w:p>
      <w:pPr>
        <w:pStyle w:val="4"/>
        <w:numPr>
          <w:ilvl w:val="2"/>
          <w:numId w:val="1"/>
        </w:numPr>
        <w:ind w:left="0" w:firstLine="0"/>
        <w:rPr>
          <w:kern w:val="0"/>
          <w:lang w:val="zh-CN"/>
        </w:rPr>
      </w:pPr>
      <w:r>
        <w:rPr>
          <w:rFonts w:hint="eastAsia"/>
          <w:kern w:val="0"/>
          <w:lang w:val="zh-CN"/>
        </w:rPr>
        <w:t>砌体结构</w:t>
      </w:r>
      <w:r>
        <w:rPr>
          <w:rFonts w:hint="eastAsia"/>
        </w:rPr>
        <w:t>的完损状况检查应包括下列主要内容：</w:t>
      </w:r>
    </w:p>
    <w:p>
      <w:pPr>
        <w:pStyle w:val="74"/>
      </w:pPr>
      <w:r>
        <w:t xml:space="preserve">1 </w:t>
      </w:r>
      <w:r>
        <w:rPr>
          <w:rFonts w:hint="eastAsia"/>
        </w:rPr>
        <w:t>墙柱倾斜、歪闪、弓凸变形，梁板或搁栅下挠变形，屋架平直度及支撑体系情况；</w:t>
      </w:r>
    </w:p>
    <w:p>
      <w:pPr>
        <w:pStyle w:val="74"/>
      </w:pPr>
      <w:r>
        <w:t xml:space="preserve">2 </w:t>
      </w:r>
      <w:r>
        <w:rPr>
          <w:rFonts w:hint="eastAsia"/>
        </w:rPr>
        <w:t>砌体构件块材平整程度、砂浆饱满程度，以及开裂、酥碱情况；</w:t>
      </w:r>
    </w:p>
    <w:p>
      <w:pPr>
        <w:pStyle w:val="74"/>
        <w:rPr>
          <w:szCs w:val="20"/>
        </w:rPr>
      </w:pPr>
      <w:r>
        <w:t xml:space="preserve">3 </w:t>
      </w:r>
      <w:r>
        <w:rPr>
          <w:rFonts w:hint="eastAsia"/>
        </w:rPr>
        <w:t>混凝土构件表观缺陷，开裂、露筋、锈胀、保护层脱落及铁件锈蚀情况；</w:t>
      </w:r>
    </w:p>
    <w:p>
      <w:pPr>
        <w:pStyle w:val="74"/>
        <w:rPr>
          <w:rFonts w:ascii="宋体"/>
          <w:kern w:val="0"/>
          <w:szCs w:val="21"/>
        </w:rPr>
      </w:pPr>
      <w:r>
        <w:rPr>
          <w:rFonts w:ascii="宋体" w:hAnsi="宋体"/>
          <w:bCs/>
          <w:kern w:val="0"/>
          <w:szCs w:val="21"/>
        </w:rPr>
        <w:t xml:space="preserve">4 </w:t>
      </w:r>
      <w:r>
        <w:rPr>
          <w:rFonts w:hint="eastAsia" w:ascii="宋体" w:hAnsi="宋体"/>
          <w:bCs/>
          <w:kern w:val="0"/>
          <w:szCs w:val="21"/>
        </w:rPr>
        <w:t>木构件材质、纵裂、腐朽、蛀蚀及铁件锈蚀情况。</w:t>
      </w:r>
    </w:p>
    <w:p>
      <w:pPr>
        <w:pStyle w:val="74"/>
      </w:pPr>
      <w:r>
        <w:t xml:space="preserve">5 </w:t>
      </w:r>
      <w:r>
        <w:rPr>
          <w:rFonts w:hint="eastAsia"/>
        </w:rPr>
        <w:t>屋架搁置点松动、钢拉杆锈蚀情况。</w:t>
      </w:r>
    </w:p>
    <w:p>
      <w:pPr>
        <w:pStyle w:val="4"/>
        <w:numPr>
          <w:ilvl w:val="2"/>
          <w:numId w:val="1"/>
        </w:numPr>
        <w:ind w:left="0" w:firstLine="0"/>
        <w:rPr>
          <w:kern w:val="0"/>
          <w:lang w:val="zh-CN"/>
        </w:rPr>
      </w:pPr>
      <w:r>
        <w:rPr>
          <w:rFonts w:hint="eastAsia"/>
          <w:kern w:val="0"/>
          <w:lang w:val="zh-CN"/>
        </w:rPr>
        <w:t>砌体结构的完损等级应按表</w:t>
      </w:r>
      <w:r>
        <w:rPr>
          <w:kern w:val="0"/>
          <w:lang w:val="zh-CN"/>
        </w:rPr>
        <w:t>4.</w:t>
      </w:r>
      <w:r>
        <w:rPr>
          <w:rFonts w:hint="eastAsia"/>
          <w:kern w:val="0"/>
          <w:lang w:val="zh-CN"/>
        </w:rPr>
        <w:t>8</w:t>
      </w:r>
      <w:r>
        <w:rPr>
          <w:kern w:val="0"/>
          <w:lang w:val="zh-CN"/>
        </w:rPr>
        <w:t>.4</w:t>
      </w:r>
      <w:r>
        <w:rPr>
          <w:rFonts w:hint="eastAsia"/>
          <w:kern w:val="0"/>
          <w:lang w:val="zh-CN"/>
        </w:rPr>
        <w:t>评定。</w:t>
      </w:r>
    </w:p>
    <w:p>
      <w:pPr>
        <w:pStyle w:val="78"/>
        <w:rPr>
          <w:kern w:val="0"/>
        </w:rPr>
      </w:pPr>
      <w:r>
        <w:rPr>
          <w:rFonts w:hint="eastAsia"/>
          <w:kern w:val="0"/>
        </w:rPr>
        <w:t>表</w:t>
      </w:r>
      <w:r>
        <w:rPr>
          <w:kern w:val="0"/>
        </w:rPr>
        <w:t>4.</w:t>
      </w:r>
      <w:r>
        <w:rPr>
          <w:rFonts w:hint="eastAsia"/>
          <w:kern w:val="0"/>
        </w:rPr>
        <w:t>8</w:t>
      </w:r>
      <w:r>
        <w:rPr>
          <w:kern w:val="0"/>
        </w:rPr>
        <w:t xml:space="preserve">.4 </w:t>
      </w:r>
      <w:r>
        <w:rPr>
          <w:rFonts w:hint="eastAsia"/>
          <w:kern w:val="0"/>
        </w:rPr>
        <w:t>砌体结构完损等级评定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砌体墙或柱无明显倾斜、歪闪、弓凸，砌筑块材平整完整，砌筑砂浆饱满，墙体无开裂、无风化、无碱蚀</w:t>
            </w:r>
          </w:p>
          <w:p>
            <w:pPr>
              <w:ind w:firstLine="420" w:firstLineChars="200"/>
              <w:rPr>
                <w:rFonts w:ascii="宋体"/>
                <w:bCs/>
                <w:kern w:val="0"/>
                <w:szCs w:val="21"/>
                <w:lang w:val="zh-CN"/>
              </w:rPr>
            </w:pPr>
            <w:r>
              <w:rPr>
                <w:rFonts w:hint="eastAsia" w:ascii="宋体" w:hAnsi="宋体"/>
                <w:bCs/>
                <w:kern w:val="0"/>
                <w:szCs w:val="21"/>
                <w:lang w:val="zh-CN"/>
              </w:rPr>
              <w:t>混凝土梁、板无明显下挠变形，屋架平直、支撑体系完整；构件表观无缺陷，无明显开裂，无露筋、无锈胀、无保护层剥落；屋架节点及搁置点无松动，钢拉杆无锈蚀</w:t>
            </w:r>
          </w:p>
          <w:p>
            <w:pPr>
              <w:ind w:firstLine="420" w:firstLineChars="200"/>
              <w:rPr>
                <w:rFonts w:ascii="宋体"/>
                <w:bCs/>
                <w:kern w:val="0"/>
                <w:szCs w:val="21"/>
                <w:lang w:val="zh-CN"/>
              </w:rPr>
            </w:pPr>
            <w:r>
              <w:rPr>
                <w:rFonts w:hint="eastAsia" w:ascii="宋体" w:hAnsi="宋体"/>
                <w:bCs/>
                <w:kern w:val="0"/>
                <w:szCs w:val="21"/>
                <w:lang w:val="zh-CN"/>
              </w:rPr>
              <w:t>木梁、搁栅、檩条无明显下挠变形，屋架平直、无明显倾斜或下挠变形，支撑体系完整；节点或搁置点无松动；木质良好，木材无纵裂、腐朽、蛀蚀，铁件无锈蚀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砌体墙或柱无明显倾斜、歪闪、弓凸，砌筑块材平整、个别开裂，砌筑砂浆局部欠饱满，墙体无开裂、无风化、无碱蚀</w:t>
            </w:r>
          </w:p>
          <w:p>
            <w:pPr>
              <w:ind w:firstLine="420" w:firstLineChars="200"/>
              <w:rPr>
                <w:rFonts w:ascii="宋体"/>
                <w:bCs/>
                <w:kern w:val="0"/>
                <w:szCs w:val="21"/>
                <w:lang w:val="zh-CN"/>
              </w:rPr>
            </w:pPr>
            <w:r>
              <w:rPr>
                <w:rFonts w:hint="eastAsia" w:ascii="宋体" w:hAnsi="宋体"/>
                <w:bCs/>
                <w:kern w:val="0"/>
                <w:szCs w:val="21"/>
                <w:lang w:val="zh-CN"/>
              </w:rPr>
              <w:t>混凝土梁、板无明显下挠变形，屋架平直、支撑体系完整；少量构件表观轻微缺陷，表面细微开裂，无露筋、无锈胀、无保护层剥落；屋架节点及搁置点无松动，个别钢拉杆轻微锈蚀</w:t>
            </w:r>
          </w:p>
          <w:p>
            <w:pPr>
              <w:ind w:firstLine="420" w:firstLineChars="200"/>
              <w:rPr>
                <w:rFonts w:ascii="宋体"/>
                <w:bCs/>
                <w:kern w:val="0"/>
                <w:szCs w:val="21"/>
                <w:lang w:val="zh-CN"/>
              </w:rPr>
            </w:pPr>
            <w:r>
              <w:rPr>
                <w:rFonts w:hint="eastAsia" w:ascii="宋体" w:hAnsi="宋体"/>
                <w:bCs/>
                <w:kern w:val="0"/>
                <w:szCs w:val="21"/>
                <w:lang w:val="zh-CN"/>
              </w:rPr>
              <w:t>木梁、搁栅、檩条无明显下挠变形，屋架平直、无明显倾斜或下挠变形，支撑体系完整；节点或搁置点无松动；木质良好，木材轻微纵裂、无腐朽、蛀蚀，个别铁件轻微锈蚀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少量砌体墙或柱倾斜变形，无歪闪、弓凸，砌筑块材平整、个别开裂，砌筑砂浆多处欠饱满，墙体少量开裂、轻微风化、轻微碱蚀</w:t>
            </w:r>
          </w:p>
          <w:p>
            <w:pPr>
              <w:ind w:firstLine="420" w:firstLineChars="200"/>
              <w:rPr>
                <w:rFonts w:ascii="宋体"/>
                <w:bCs/>
                <w:kern w:val="0"/>
                <w:szCs w:val="21"/>
                <w:lang w:val="zh-CN"/>
              </w:rPr>
            </w:pPr>
            <w:r>
              <w:rPr>
                <w:rFonts w:hint="eastAsia" w:ascii="宋体" w:hAnsi="宋体"/>
                <w:bCs/>
                <w:kern w:val="0"/>
                <w:szCs w:val="21"/>
                <w:lang w:val="zh-CN"/>
              </w:rPr>
              <w:t>部分混凝土梁、板轻微下挠变形，屋架轻微倾斜或下挠变形，支撑体系基本完整；部分构件表观轻微缺陷，少量材料收缩裂缝，个别部位露筋、锈胀、保护层剥落；屋架节点及搁置点轻微松动，钢拉杆普遍轻微锈蚀</w:t>
            </w:r>
          </w:p>
          <w:p>
            <w:pPr>
              <w:ind w:firstLine="420" w:firstLineChars="200"/>
              <w:rPr>
                <w:rFonts w:ascii="宋体"/>
                <w:bCs/>
                <w:kern w:val="0"/>
                <w:szCs w:val="21"/>
                <w:lang w:val="zh-CN"/>
              </w:rPr>
            </w:pPr>
            <w:r>
              <w:rPr>
                <w:rFonts w:hint="eastAsia" w:ascii="宋体" w:hAnsi="宋体"/>
                <w:bCs/>
                <w:kern w:val="0"/>
                <w:szCs w:val="21"/>
                <w:lang w:val="zh-CN"/>
              </w:rPr>
              <w:t>少量木梁、搁栅、檩条轻微下挠变形，屋架平直、轻微下挠变形，支撑体系基本完整；少量节点或搁置点轻微松动；木质良好，木材轻微纵裂、轻微腐朽、无蛀蚀，多数铁件轻微锈蚀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部分砌体墙或柱明显倾斜变形，有歪闪、弓凸变形，砌筑块材多处碎裂，砌筑砂浆普遍粉化，墙体多处开裂、普遍风化、普遍碱蚀</w:t>
            </w:r>
          </w:p>
          <w:p>
            <w:pPr>
              <w:ind w:firstLine="420" w:firstLineChars="200"/>
              <w:rPr>
                <w:rFonts w:ascii="宋体"/>
                <w:bCs/>
                <w:kern w:val="0"/>
                <w:szCs w:val="21"/>
                <w:lang w:val="zh-CN"/>
              </w:rPr>
            </w:pPr>
            <w:r>
              <w:rPr>
                <w:rFonts w:hint="eastAsia" w:ascii="宋体" w:hAnsi="宋体"/>
                <w:bCs/>
                <w:kern w:val="0"/>
                <w:szCs w:val="21"/>
                <w:lang w:val="zh-CN"/>
              </w:rPr>
              <w:t>部分混凝土梁、板明显下挠变形，屋架明显倾斜或下挠变形，支撑体系不完整；多处构件表观缺陷，多处材料收缩裂缝，有受力裂缝，多处露筋、锈胀、保护层剥落；屋架节点或搁置点明显松动，钢拉杆明显锈蚀</w:t>
            </w:r>
          </w:p>
          <w:p>
            <w:pPr>
              <w:ind w:firstLine="420" w:firstLineChars="200"/>
              <w:rPr>
                <w:rFonts w:ascii="宋体"/>
                <w:bCs/>
                <w:kern w:val="0"/>
                <w:szCs w:val="21"/>
                <w:lang w:val="zh-CN"/>
              </w:rPr>
            </w:pPr>
            <w:r>
              <w:rPr>
                <w:rFonts w:hint="eastAsia" w:ascii="宋体" w:hAnsi="宋体"/>
                <w:bCs/>
                <w:kern w:val="0"/>
                <w:szCs w:val="21"/>
                <w:lang w:val="zh-CN"/>
              </w:rPr>
              <w:t>部分木梁、搁栅、檩条明显下挠变形，屋架有歪闪迹象、明显倾斜或下挠变形，支撑体系不完整；部分节点或搁置点明显松动；木质脆枯，木材明显纵裂、腐朽、有蛀蚀，铁件普遍锈蚀</w:t>
            </w:r>
          </w:p>
        </w:tc>
      </w:tr>
    </w:tbl>
    <w:p>
      <w:pPr>
        <w:pStyle w:val="4"/>
        <w:numPr>
          <w:ilvl w:val="2"/>
          <w:numId w:val="1"/>
        </w:numPr>
        <w:ind w:left="0" w:firstLine="0"/>
        <w:rPr>
          <w:kern w:val="0"/>
          <w:lang w:val="zh-CN"/>
        </w:rPr>
      </w:pPr>
      <w:r>
        <w:rPr>
          <w:rFonts w:hint="eastAsia"/>
          <w:kern w:val="0"/>
          <w:lang w:val="zh-CN"/>
        </w:rPr>
        <w:t>木结构的完损状况检查应包括下列主要内容：</w:t>
      </w:r>
    </w:p>
    <w:p>
      <w:pPr>
        <w:pStyle w:val="74"/>
        <w:rPr>
          <w:szCs w:val="20"/>
        </w:rPr>
      </w:pPr>
      <w:r>
        <w:rPr>
          <w:szCs w:val="20"/>
        </w:rPr>
        <w:t xml:space="preserve">1 </w:t>
      </w:r>
      <w:r>
        <w:rPr>
          <w:rFonts w:hint="eastAsia"/>
          <w:szCs w:val="20"/>
        </w:rPr>
        <w:t>柱倾斜或歪扭</w:t>
      </w:r>
      <w:r>
        <w:rPr>
          <w:rFonts w:hint="eastAsia"/>
        </w:rPr>
        <w:t>变形，梁或搁栅下挠变形，屋架平直程度及支撑体系情况</w:t>
      </w:r>
      <w:r>
        <w:rPr>
          <w:rFonts w:hint="eastAsia"/>
          <w:szCs w:val="20"/>
        </w:rPr>
        <w:t>；</w:t>
      </w:r>
    </w:p>
    <w:p>
      <w:pPr>
        <w:pStyle w:val="74"/>
      </w:pPr>
      <w:r>
        <w:t xml:space="preserve">2 </w:t>
      </w:r>
      <w:r>
        <w:rPr>
          <w:rFonts w:hint="eastAsia"/>
        </w:rPr>
        <w:t>梁、搁栅、屋架、榫头及搁置点松动情况；</w:t>
      </w:r>
    </w:p>
    <w:p>
      <w:pPr>
        <w:pStyle w:val="74"/>
      </w:pPr>
      <w:r>
        <w:t xml:space="preserve">3 </w:t>
      </w:r>
      <w:r>
        <w:rPr>
          <w:rFonts w:hint="eastAsia"/>
        </w:rPr>
        <w:t>木材材质、劈裂、横裂、腐朽、蛀蚀及铁件锈蚀情况。</w:t>
      </w:r>
    </w:p>
    <w:p>
      <w:pPr>
        <w:pStyle w:val="4"/>
        <w:numPr>
          <w:ilvl w:val="2"/>
          <w:numId w:val="1"/>
        </w:numPr>
        <w:ind w:left="0" w:firstLine="0"/>
        <w:rPr>
          <w:kern w:val="0"/>
          <w:lang w:val="zh-CN"/>
        </w:rPr>
      </w:pPr>
      <w:r>
        <w:rPr>
          <w:rFonts w:hint="eastAsia"/>
          <w:kern w:val="0"/>
          <w:lang w:val="zh-CN"/>
        </w:rPr>
        <w:t>木结构的完损等级应按表</w:t>
      </w:r>
      <w:r>
        <w:rPr>
          <w:kern w:val="0"/>
          <w:lang w:val="zh-CN"/>
        </w:rPr>
        <w:t>4.</w:t>
      </w:r>
      <w:r>
        <w:rPr>
          <w:rFonts w:hint="eastAsia"/>
          <w:kern w:val="0"/>
          <w:lang w:val="zh-CN"/>
        </w:rPr>
        <w:t>8</w:t>
      </w:r>
      <w:r>
        <w:rPr>
          <w:kern w:val="0"/>
          <w:lang w:val="zh-CN"/>
        </w:rPr>
        <w:t>.6</w:t>
      </w:r>
      <w:r>
        <w:rPr>
          <w:rFonts w:hint="eastAsia"/>
          <w:kern w:val="0"/>
          <w:lang w:val="zh-CN"/>
        </w:rPr>
        <w:t>评定。</w:t>
      </w:r>
    </w:p>
    <w:p>
      <w:pPr>
        <w:pStyle w:val="78"/>
        <w:rPr>
          <w:kern w:val="0"/>
        </w:rPr>
      </w:pPr>
      <w:r>
        <w:rPr>
          <w:rFonts w:hint="eastAsia"/>
          <w:kern w:val="0"/>
        </w:rPr>
        <w:t>表</w:t>
      </w:r>
      <w:r>
        <w:rPr>
          <w:kern w:val="0"/>
        </w:rPr>
        <w:t>4.</w:t>
      </w:r>
      <w:r>
        <w:rPr>
          <w:rFonts w:hint="eastAsia"/>
          <w:kern w:val="0"/>
        </w:rPr>
        <w:t>8</w:t>
      </w:r>
      <w:r>
        <w:rPr>
          <w:kern w:val="0"/>
        </w:rPr>
        <w:t>.6</w:t>
      </w:r>
      <w:r>
        <w:rPr>
          <w:rFonts w:hint="eastAsia"/>
          <w:kern w:val="0"/>
        </w:rPr>
        <w:t>木结构完损等级评定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柱无明显倾斜或歪扭变形，梁、搁栅、檩条无明显下挠变形，屋架平直、无明显倾斜或下挠变形，支撑体系完整</w:t>
            </w:r>
          </w:p>
          <w:p>
            <w:pPr>
              <w:ind w:firstLine="420" w:firstLineChars="200"/>
              <w:rPr>
                <w:rFonts w:ascii="宋体"/>
                <w:bCs/>
                <w:kern w:val="0"/>
                <w:szCs w:val="21"/>
                <w:lang w:val="zh-CN"/>
              </w:rPr>
            </w:pPr>
            <w:r>
              <w:rPr>
                <w:rFonts w:hint="eastAsia" w:ascii="宋体" w:hAnsi="宋体"/>
                <w:bCs/>
                <w:kern w:val="0"/>
                <w:szCs w:val="21"/>
                <w:lang w:val="zh-CN"/>
              </w:rPr>
              <w:t>节点或搁置点无松动</w:t>
            </w:r>
          </w:p>
          <w:p>
            <w:pPr>
              <w:ind w:firstLine="420" w:firstLineChars="200"/>
              <w:rPr>
                <w:rFonts w:ascii="宋体"/>
                <w:bCs/>
                <w:kern w:val="0"/>
                <w:szCs w:val="21"/>
                <w:lang w:val="zh-CN"/>
              </w:rPr>
            </w:pPr>
            <w:r>
              <w:rPr>
                <w:rFonts w:hint="eastAsia" w:ascii="宋体" w:hAnsi="宋体"/>
                <w:bCs/>
                <w:kern w:val="0"/>
                <w:szCs w:val="21"/>
                <w:lang w:val="zh-CN"/>
              </w:rPr>
              <w:t>木质良好，木材无纵裂、腐朽、蛀蚀，铁件无锈蚀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柱无明显倾斜或歪扭变形，梁、搁栅、檩条无明显下挠变形，屋架平直、无明显倾斜或下挠变形，支撑体系完整</w:t>
            </w:r>
          </w:p>
          <w:p>
            <w:pPr>
              <w:ind w:firstLine="420" w:firstLineChars="200"/>
              <w:rPr>
                <w:rFonts w:ascii="宋体"/>
                <w:bCs/>
                <w:kern w:val="0"/>
                <w:szCs w:val="21"/>
                <w:lang w:val="zh-CN"/>
              </w:rPr>
            </w:pPr>
            <w:r>
              <w:rPr>
                <w:rFonts w:hint="eastAsia" w:ascii="宋体" w:hAnsi="宋体"/>
                <w:bCs/>
                <w:kern w:val="0"/>
                <w:szCs w:val="21"/>
                <w:lang w:val="zh-CN"/>
              </w:rPr>
              <w:t>节点或搁置点无松动</w:t>
            </w:r>
          </w:p>
          <w:p>
            <w:pPr>
              <w:ind w:firstLine="420" w:firstLineChars="200"/>
              <w:rPr>
                <w:rFonts w:ascii="宋体"/>
                <w:bCs/>
                <w:kern w:val="0"/>
                <w:szCs w:val="21"/>
                <w:lang w:val="zh-CN"/>
              </w:rPr>
            </w:pPr>
            <w:r>
              <w:rPr>
                <w:rFonts w:hint="eastAsia" w:ascii="宋体" w:hAnsi="宋体"/>
                <w:bCs/>
                <w:kern w:val="0"/>
                <w:szCs w:val="21"/>
                <w:lang w:val="zh-CN"/>
              </w:rPr>
              <w:t>木质良好，木材轻微纵裂、无腐朽、蛀蚀，个别铁件轻微锈蚀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少量柱轻微倾斜变形、无歪扭变形，梁、搁栅、檩条轻微下挠变形，屋架平直、轻微下挠变形，支撑体系基本完整</w:t>
            </w:r>
          </w:p>
          <w:p>
            <w:pPr>
              <w:ind w:firstLine="420" w:firstLineChars="200"/>
              <w:rPr>
                <w:rFonts w:ascii="宋体"/>
                <w:bCs/>
                <w:kern w:val="0"/>
                <w:szCs w:val="21"/>
                <w:lang w:val="zh-CN"/>
              </w:rPr>
            </w:pPr>
            <w:r>
              <w:rPr>
                <w:rFonts w:hint="eastAsia" w:ascii="宋体" w:hAnsi="宋体"/>
                <w:bCs/>
                <w:kern w:val="0"/>
                <w:szCs w:val="21"/>
                <w:lang w:val="zh-CN"/>
              </w:rPr>
              <w:t>少量节点或搁置点轻微松动</w:t>
            </w:r>
          </w:p>
          <w:p>
            <w:pPr>
              <w:ind w:firstLine="420" w:firstLineChars="200"/>
              <w:rPr>
                <w:rFonts w:ascii="宋体"/>
                <w:bCs/>
                <w:kern w:val="0"/>
                <w:szCs w:val="21"/>
                <w:lang w:val="zh-CN"/>
              </w:rPr>
            </w:pPr>
            <w:r>
              <w:rPr>
                <w:rFonts w:hint="eastAsia" w:ascii="宋体" w:hAnsi="宋体"/>
                <w:bCs/>
                <w:kern w:val="0"/>
                <w:szCs w:val="21"/>
                <w:lang w:val="zh-CN"/>
              </w:rPr>
              <w:t>木质良好，木材轻微纵裂、轻微腐朽、无蛀蚀，多数铁件轻微锈蚀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部分柱明显倾斜变形、有歪扭变形，梁、搁栅、檩条明显下挠变形，屋架有歪闪迹象、明显倾斜或下挠变形，支撑体系不完整</w:t>
            </w:r>
          </w:p>
          <w:p>
            <w:pPr>
              <w:ind w:firstLine="420" w:firstLineChars="200"/>
              <w:rPr>
                <w:rFonts w:ascii="宋体"/>
                <w:bCs/>
                <w:kern w:val="0"/>
                <w:szCs w:val="21"/>
                <w:lang w:val="zh-CN"/>
              </w:rPr>
            </w:pPr>
            <w:r>
              <w:rPr>
                <w:rFonts w:hint="eastAsia" w:ascii="宋体" w:hAnsi="宋体"/>
                <w:bCs/>
                <w:kern w:val="0"/>
                <w:szCs w:val="21"/>
                <w:lang w:val="zh-CN"/>
              </w:rPr>
              <w:t>部分节点或搁置点明显松动</w:t>
            </w:r>
          </w:p>
          <w:p>
            <w:pPr>
              <w:ind w:firstLine="420" w:firstLineChars="200"/>
              <w:rPr>
                <w:rFonts w:ascii="宋体"/>
                <w:bCs/>
                <w:kern w:val="0"/>
                <w:szCs w:val="21"/>
                <w:lang w:val="zh-CN"/>
              </w:rPr>
            </w:pPr>
            <w:r>
              <w:rPr>
                <w:rFonts w:hint="eastAsia" w:ascii="宋体" w:hAnsi="宋体"/>
                <w:bCs/>
                <w:kern w:val="0"/>
                <w:szCs w:val="21"/>
                <w:lang w:val="zh-CN"/>
              </w:rPr>
              <w:t>木质脆枯，木材明显纵裂、腐朽、有蛀蚀，铁件普遍锈蚀</w:t>
            </w:r>
          </w:p>
        </w:tc>
      </w:tr>
    </w:tbl>
    <w:p>
      <w:pPr>
        <w:pStyle w:val="4"/>
        <w:numPr>
          <w:ilvl w:val="2"/>
          <w:numId w:val="1"/>
        </w:numPr>
        <w:ind w:left="0" w:firstLine="0"/>
        <w:rPr>
          <w:kern w:val="0"/>
          <w:lang w:val="zh-CN"/>
        </w:rPr>
      </w:pPr>
      <w:r>
        <w:rPr>
          <w:rFonts w:hint="eastAsia"/>
          <w:kern w:val="0"/>
          <w:lang w:val="zh-CN"/>
        </w:rPr>
        <w:t>钢结构的完损状况检查应包括下列主要内容：</w:t>
      </w:r>
    </w:p>
    <w:p>
      <w:pPr>
        <w:pStyle w:val="74"/>
        <w:rPr>
          <w:kern w:val="0"/>
        </w:rPr>
      </w:pPr>
      <w:r>
        <w:rPr>
          <w:kern w:val="0"/>
        </w:rPr>
        <w:t xml:space="preserve">1 </w:t>
      </w:r>
      <w:r>
        <w:rPr>
          <w:rFonts w:hint="eastAsia"/>
          <w:szCs w:val="20"/>
        </w:rPr>
        <w:t>支撑体系</w:t>
      </w:r>
      <w:r>
        <w:rPr>
          <w:rFonts w:hint="eastAsia"/>
          <w:kern w:val="0"/>
        </w:rPr>
        <w:t>的缺损情况、节点情况及防腐涂层的完整情况；</w:t>
      </w:r>
    </w:p>
    <w:p>
      <w:pPr>
        <w:pStyle w:val="74"/>
        <w:rPr>
          <w:szCs w:val="20"/>
        </w:rPr>
      </w:pPr>
      <w:r>
        <w:t xml:space="preserve">2 </w:t>
      </w:r>
      <w:r>
        <w:rPr>
          <w:rFonts w:hint="eastAsia"/>
        </w:rPr>
        <w:t>柱倾斜变形、梁下挠变形及构件局部变形情况。</w:t>
      </w:r>
    </w:p>
    <w:p>
      <w:pPr>
        <w:pStyle w:val="4"/>
        <w:numPr>
          <w:ilvl w:val="2"/>
          <w:numId w:val="1"/>
        </w:numPr>
        <w:ind w:left="0" w:firstLine="0"/>
        <w:rPr>
          <w:kern w:val="0"/>
          <w:lang w:val="zh-CN"/>
        </w:rPr>
      </w:pPr>
      <w:r>
        <w:rPr>
          <w:rFonts w:hint="eastAsia"/>
          <w:kern w:val="0"/>
          <w:lang w:val="zh-CN"/>
        </w:rPr>
        <w:t>钢结构的完损等级应按表</w:t>
      </w:r>
      <w:r>
        <w:rPr>
          <w:kern w:val="0"/>
          <w:lang w:val="zh-CN"/>
        </w:rPr>
        <w:t>4.</w:t>
      </w:r>
      <w:r>
        <w:rPr>
          <w:rFonts w:hint="eastAsia"/>
          <w:kern w:val="0"/>
          <w:lang w:val="zh-CN"/>
        </w:rPr>
        <w:t>8</w:t>
      </w:r>
      <w:r>
        <w:rPr>
          <w:kern w:val="0"/>
          <w:lang w:val="zh-CN"/>
        </w:rPr>
        <w:t>.8</w:t>
      </w:r>
      <w:r>
        <w:rPr>
          <w:rFonts w:hint="eastAsia"/>
          <w:kern w:val="0"/>
          <w:lang w:val="zh-CN"/>
        </w:rPr>
        <w:t>评定。</w:t>
      </w:r>
    </w:p>
    <w:p>
      <w:pPr>
        <w:pStyle w:val="78"/>
        <w:rPr>
          <w:kern w:val="0"/>
        </w:rPr>
      </w:pPr>
      <w:r>
        <w:rPr>
          <w:rFonts w:hint="eastAsia"/>
          <w:kern w:val="0"/>
        </w:rPr>
        <w:t>表</w:t>
      </w:r>
      <w:r>
        <w:rPr>
          <w:kern w:val="0"/>
        </w:rPr>
        <w:t>4.</w:t>
      </w:r>
      <w:r>
        <w:rPr>
          <w:rFonts w:hint="eastAsia"/>
          <w:kern w:val="0"/>
        </w:rPr>
        <w:t>8</w:t>
      </w:r>
      <w:r>
        <w:rPr>
          <w:kern w:val="0"/>
        </w:rPr>
        <w:t>.8</w:t>
      </w:r>
      <w:r>
        <w:rPr>
          <w:rFonts w:hint="eastAsia"/>
          <w:kern w:val="0"/>
        </w:rPr>
        <w:t>钢结构完损等级评定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支撑体系完整，节点完好，防腐涂层完整</w:t>
            </w:r>
          </w:p>
          <w:p>
            <w:pPr>
              <w:ind w:firstLine="420" w:firstLineChars="200"/>
              <w:rPr>
                <w:rFonts w:ascii="宋体"/>
                <w:bCs/>
                <w:kern w:val="0"/>
                <w:szCs w:val="21"/>
                <w:lang w:val="zh-CN"/>
              </w:rPr>
            </w:pPr>
            <w:r>
              <w:rPr>
                <w:rFonts w:hint="eastAsia" w:ascii="宋体" w:hAnsi="宋体"/>
                <w:bCs/>
                <w:kern w:val="0"/>
                <w:szCs w:val="21"/>
                <w:lang w:val="zh-CN"/>
              </w:rPr>
              <w:t>柱无明显倾斜变形，梁或屋架无明显下挠变形，构件无局部变形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支撑体系完整，节点完好，防腐涂层基本完整</w:t>
            </w:r>
          </w:p>
          <w:p>
            <w:pPr>
              <w:ind w:firstLine="420" w:firstLineChars="200"/>
              <w:rPr>
                <w:rFonts w:ascii="宋体"/>
                <w:bCs/>
                <w:kern w:val="0"/>
                <w:szCs w:val="21"/>
                <w:lang w:val="zh-CN"/>
              </w:rPr>
            </w:pPr>
            <w:r>
              <w:rPr>
                <w:rFonts w:hint="eastAsia" w:ascii="宋体" w:hAnsi="宋体"/>
                <w:bCs/>
                <w:kern w:val="0"/>
                <w:szCs w:val="21"/>
                <w:lang w:val="zh-CN"/>
              </w:rPr>
              <w:t>柱无明显倾斜变形，梁或屋架无明显下挠变形，构件无局部变形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支撑体系基本完整，节点完好，防腐涂层部分损坏</w:t>
            </w:r>
          </w:p>
          <w:p>
            <w:pPr>
              <w:ind w:firstLine="420" w:firstLineChars="200"/>
              <w:rPr>
                <w:rFonts w:ascii="宋体"/>
                <w:bCs/>
                <w:kern w:val="0"/>
                <w:szCs w:val="21"/>
                <w:lang w:val="zh-CN"/>
              </w:rPr>
            </w:pPr>
            <w:r>
              <w:rPr>
                <w:rFonts w:hint="eastAsia" w:ascii="宋体" w:hAnsi="宋体"/>
                <w:bCs/>
                <w:kern w:val="0"/>
                <w:szCs w:val="21"/>
                <w:lang w:val="zh-CN"/>
              </w:rPr>
              <w:t>少量柱轻微倾斜变形，梁或屋架轻微下挠变形，构件局部轻微变形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846" w:type="dxa"/>
          </w:tcPr>
          <w:p>
            <w:pPr>
              <w:ind w:firstLine="420" w:firstLineChars="200"/>
              <w:rPr>
                <w:rFonts w:ascii="宋体"/>
                <w:bCs/>
                <w:kern w:val="0"/>
                <w:szCs w:val="21"/>
                <w:lang w:val="zh-CN"/>
              </w:rPr>
            </w:pPr>
            <w:r>
              <w:rPr>
                <w:rFonts w:hint="eastAsia" w:ascii="宋体" w:hAnsi="宋体"/>
                <w:bCs/>
                <w:kern w:val="0"/>
                <w:szCs w:val="21"/>
                <w:lang w:val="zh-CN"/>
              </w:rPr>
              <w:t>支撑体系不完整，节点变形，防腐涂层普遍损坏</w:t>
            </w:r>
          </w:p>
          <w:p>
            <w:pPr>
              <w:ind w:firstLine="420" w:firstLineChars="200"/>
              <w:rPr>
                <w:rFonts w:ascii="宋体"/>
                <w:bCs/>
                <w:kern w:val="0"/>
                <w:szCs w:val="21"/>
                <w:lang w:val="zh-CN"/>
              </w:rPr>
            </w:pPr>
            <w:r>
              <w:rPr>
                <w:rFonts w:hint="eastAsia" w:ascii="宋体" w:hAnsi="宋体"/>
                <w:bCs/>
                <w:kern w:val="0"/>
                <w:szCs w:val="21"/>
                <w:lang w:val="zh-CN"/>
              </w:rPr>
              <w:t>部分柱明显倾斜变形，梁或屋架明显下挠变形，构件局部严重变形</w:t>
            </w:r>
          </w:p>
        </w:tc>
      </w:tr>
    </w:tbl>
    <w:p>
      <w:pPr>
        <w:pStyle w:val="3"/>
        <w:numPr>
          <w:ilvl w:val="1"/>
          <w:numId w:val="1"/>
        </w:numPr>
        <w:ind w:left="0" w:firstLine="0"/>
        <w:rPr>
          <w:rFonts w:eastAsiaTheme="minorEastAsia"/>
        </w:rPr>
      </w:pPr>
      <w:r>
        <w:rPr>
          <w:rFonts w:hint="eastAsia" w:eastAsiaTheme="minorEastAsia"/>
        </w:rPr>
        <w:t>给排水设施设备</w:t>
      </w:r>
    </w:p>
    <w:p>
      <w:pPr>
        <w:pStyle w:val="4"/>
        <w:numPr>
          <w:ilvl w:val="2"/>
          <w:numId w:val="1"/>
        </w:numPr>
        <w:ind w:left="0" w:firstLine="0"/>
        <w:rPr>
          <w:kern w:val="0"/>
          <w:lang w:val="zh-CN"/>
        </w:rPr>
      </w:pPr>
      <w:r>
        <w:rPr>
          <w:rFonts w:hint="eastAsia"/>
          <w:kern w:val="0"/>
          <w:lang w:val="zh-CN"/>
        </w:rPr>
        <w:t>给排水设施设备的完损状况检查应包括下列主要内容：</w:t>
      </w:r>
    </w:p>
    <w:p>
      <w:pPr>
        <w:pStyle w:val="74"/>
        <w:rPr>
          <w:kern w:val="0"/>
        </w:rPr>
      </w:pPr>
      <w:r>
        <w:rPr>
          <w:kern w:val="0"/>
        </w:rPr>
        <w:t xml:space="preserve">1 </w:t>
      </w:r>
      <w:r>
        <w:rPr>
          <w:rFonts w:hint="eastAsia"/>
          <w:kern w:val="0"/>
        </w:rPr>
        <w:t>水泵、水箱的运行情况；</w:t>
      </w:r>
    </w:p>
    <w:p>
      <w:pPr>
        <w:pStyle w:val="74"/>
        <w:rPr>
          <w:kern w:val="0"/>
        </w:rPr>
      </w:pPr>
      <w:r>
        <w:rPr>
          <w:kern w:val="0"/>
        </w:rPr>
        <w:t xml:space="preserve">2 </w:t>
      </w:r>
      <w:r>
        <w:rPr>
          <w:rFonts w:hint="eastAsia"/>
          <w:kern w:val="0"/>
        </w:rPr>
        <w:t>给排水管道畅通性能、渗漏水情况，铸铁管材锈蚀情况；</w:t>
      </w:r>
    </w:p>
    <w:p>
      <w:pPr>
        <w:pStyle w:val="74"/>
        <w:rPr>
          <w:kern w:val="0"/>
        </w:rPr>
      </w:pPr>
      <w:r>
        <w:rPr>
          <w:kern w:val="0"/>
        </w:rPr>
        <w:t xml:space="preserve">3 </w:t>
      </w:r>
      <w:r>
        <w:rPr>
          <w:rFonts w:hint="eastAsia"/>
          <w:kern w:val="0"/>
        </w:rPr>
        <w:t>卫生洁具及其零件的完好性和使用性情况。</w:t>
      </w:r>
    </w:p>
    <w:p>
      <w:pPr>
        <w:pStyle w:val="4"/>
        <w:numPr>
          <w:ilvl w:val="2"/>
          <w:numId w:val="1"/>
        </w:numPr>
        <w:ind w:left="0" w:firstLine="0"/>
        <w:rPr>
          <w:kern w:val="0"/>
          <w:lang w:val="zh-CN"/>
        </w:rPr>
      </w:pPr>
      <w:r>
        <w:rPr>
          <w:rFonts w:hint="eastAsia"/>
          <w:kern w:val="0"/>
          <w:lang w:val="zh-CN"/>
        </w:rPr>
        <w:t>给排水设施设备的完损等级应按表</w:t>
      </w:r>
      <w:r>
        <w:rPr>
          <w:kern w:val="0"/>
          <w:lang w:val="zh-CN"/>
        </w:rPr>
        <w:t>4.</w:t>
      </w:r>
      <w:r>
        <w:rPr>
          <w:rFonts w:hint="eastAsia"/>
          <w:kern w:val="0"/>
          <w:lang w:val="zh-CN"/>
        </w:rPr>
        <w:t>9</w:t>
      </w:r>
      <w:r>
        <w:rPr>
          <w:kern w:val="0"/>
          <w:lang w:val="zh-CN"/>
        </w:rPr>
        <w:t>.2</w:t>
      </w:r>
      <w:r>
        <w:rPr>
          <w:rFonts w:hint="eastAsia"/>
          <w:kern w:val="0"/>
          <w:lang w:val="zh-CN"/>
        </w:rPr>
        <w:t>进行评定。</w:t>
      </w:r>
    </w:p>
    <w:p>
      <w:pPr>
        <w:pStyle w:val="78"/>
        <w:rPr>
          <w:kern w:val="0"/>
        </w:rPr>
      </w:pPr>
      <w:r>
        <w:rPr>
          <w:rFonts w:hint="eastAsia"/>
          <w:kern w:val="0"/>
        </w:rPr>
        <w:t>表</w:t>
      </w:r>
      <w:r>
        <w:rPr>
          <w:kern w:val="0"/>
        </w:rPr>
        <w:t>4.</w:t>
      </w:r>
      <w:r>
        <w:rPr>
          <w:rFonts w:hint="eastAsia"/>
          <w:kern w:val="0"/>
        </w:rPr>
        <w:t>9</w:t>
      </w:r>
      <w:r>
        <w:rPr>
          <w:kern w:val="0"/>
        </w:rPr>
        <w:t>.2</w:t>
      </w:r>
      <w:r>
        <w:rPr>
          <w:rFonts w:hint="eastAsia"/>
          <w:kern w:val="0"/>
        </w:rPr>
        <w:t>给排水设施设备完损等级评定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水泵、水箱运行正常；给排水管道畅通，无渗漏水；铸铁管防锈漆漆面完整；卫生洁具完好，零件齐全无损，可正常使用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水泵、水箱运行基本正常；给排水管道基本畅通，无渗漏水；铸铁管防锈漆漆面基本完整；卫生洁具基本完好，个别零件轻微损坏，基本可正常使用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水泵、水箱时有故障发生；给排水管道不畅，轻微渗水；铸铁管防锈漆大面积脱落；卫生洁具洁具或零件部分损坏或残缺，影响正常使用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水泵、水箱故障频发；给排水管道堵塞，管道漏水；铸铁管严重锈蚀；卫生洁具或零件严重损坏或残缺，严重影响正常使用</w:t>
            </w:r>
          </w:p>
        </w:tc>
      </w:tr>
    </w:tbl>
    <w:p>
      <w:pPr>
        <w:pStyle w:val="3"/>
        <w:numPr>
          <w:ilvl w:val="1"/>
          <w:numId w:val="1"/>
        </w:numPr>
        <w:ind w:left="0" w:firstLine="0"/>
        <w:rPr>
          <w:rFonts w:eastAsiaTheme="minorEastAsia"/>
        </w:rPr>
      </w:pPr>
      <w:r>
        <w:rPr>
          <w:rFonts w:hint="eastAsia" w:eastAsiaTheme="minorEastAsia"/>
        </w:rPr>
        <w:t>电气设施设备</w:t>
      </w:r>
    </w:p>
    <w:p>
      <w:pPr>
        <w:pStyle w:val="4"/>
        <w:numPr>
          <w:ilvl w:val="2"/>
          <w:numId w:val="1"/>
        </w:numPr>
        <w:ind w:left="0" w:firstLine="0"/>
        <w:rPr>
          <w:kern w:val="0"/>
          <w:lang w:val="zh-CN"/>
        </w:rPr>
      </w:pPr>
      <w:r>
        <w:rPr>
          <w:rFonts w:hint="eastAsia"/>
          <w:kern w:val="0"/>
          <w:lang w:val="zh-CN"/>
        </w:rPr>
        <w:t>电气设施设备的完损状况检查应包括下列主要内容：</w:t>
      </w:r>
    </w:p>
    <w:p>
      <w:pPr>
        <w:pStyle w:val="74"/>
        <w:rPr>
          <w:kern w:val="0"/>
        </w:rPr>
      </w:pPr>
      <w:r>
        <w:rPr>
          <w:kern w:val="0"/>
        </w:rPr>
        <w:t xml:space="preserve">1 </w:t>
      </w:r>
      <w:r>
        <w:rPr>
          <w:rFonts w:hint="eastAsia"/>
          <w:kern w:val="0"/>
        </w:rPr>
        <w:t>线路、插座、开关的完整性和牢固性情况；</w:t>
      </w:r>
    </w:p>
    <w:p>
      <w:pPr>
        <w:pStyle w:val="74"/>
        <w:rPr>
          <w:kern w:val="0"/>
        </w:rPr>
      </w:pPr>
      <w:r>
        <w:rPr>
          <w:kern w:val="0"/>
        </w:rPr>
        <w:t xml:space="preserve">2 </w:t>
      </w:r>
      <w:r>
        <w:rPr>
          <w:rFonts w:hint="eastAsia"/>
          <w:kern w:val="0"/>
        </w:rPr>
        <w:t>设施设备的绝缘性和使用性情况。</w:t>
      </w:r>
    </w:p>
    <w:p>
      <w:pPr>
        <w:pStyle w:val="4"/>
        <w:numPr>
          <w:ilvl w:val="2"/>
          <w:numId w:val="1"/>
        </w:numPr>
        <w:ind w:left="0" w:firstLine="0"/>
        <w:rPr>
          <w:kern w:val="0"/>
          <w:lang w:val="zh-CN"/>
        </w:rPr>
      </w:pPr>
      <w:r>
        <w:rPr>
          <w:rFonts w:hint="eastAsia"/>
          <w:kern w:val="0"/>
          <w:lang w:val="zh-CN"/>
        </w:rPr>
        <w:t>电气设施设备的完损等级应按表</w:t>
      </w:r>
      <w:r>
        <w:rPr>
          <w:kern w:val="0"/>
          <w:lang w:val="zh-CN"/>
        </w:rPr>
        <w:t>4.</w:t>
      </w:r>
      <w:r>
        <w:rPr>
          <w:rFonts w:hint="eastAsia"/>
          <w:kern w:val="0"/>
          <w:lang w:val="zh-CN"/>
        </w:rPr>
        <w:t>10</w:t>
      </w:r>
      <w:r>
        <w:rPr>
          <w:kern w:val="0"/>
          <w:lang w:val="zh-CN"/>
        </w:rPr>
        <w:t>.2</w:t>
      </w:r>
      <w:r>
        <w:rPr>
          <w:rFonts w:hint="eastAsia"/>
          <w:kern w:val="0"/>
          <w:lang w:val="zh-CN"/>
        </w:rPr>
        <w:t>进行评定。</w:t>
      </w:r>
    </w:p>
    <w:p>
      <w:pPr>
        <w:pStyle w:val="78"/>
        <w:rPr>
          <w:kern w:val="0"/>
        </w:rPr>
      </w:pPr>
      <w:r>
        <w:rPr>
          <w:rFonts w:hint="eastAsia"/>
          <w:kern w:val="0"/>
        </w:rPr>
        <w:t>表</w:t>
      </w:r>
      <w:r>
        <w:rPr>
          <w:kern w:val="0"/>
        </w:rPr>
        <w:t>4.</w:t>
      </w:r>
      <w:r>
        <w:rPr>
          <w:rFonts w:hint="eastAsia"/>
          <w:kern w:val="0"/>
        </w:rPr>
        <w:t>10</w:t>
      </w:r>
      <w:r>
        <w:rPr>
          <w:kern w:val="0"/>
        </w:rPr>
        <w:t>.2</w:t>
      </w:r>
      <w:r>
        <w:rPr>
          <w:rFonts w:hint="eastAsia"/>
          <w:kern w:val="0"/>
        </w:rPr>
        <w:t>电气设施设备完损等级评定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线路、插座、开关等齐全牢固，绝缘性能良好，可正常使用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线路、插座、开关等基本齐全牢固，个别零件损坏，基本可正常使用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部分电线老化，部分插座、开关损坏，影响正常使用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电线普遍老化凌乱，部分插座、开关损坏，存在用电安全隐患，严重影响正常使用</w:t>
            </w:r>
          </w:p>
        </w:tc>
      </w:tr>
    </w:tbl>
    <w:p>
      <w:pPr>
        <w:pStyle w:val="3"/>
        <w:numPr>
          <w:ilvl w:val="1"/>
          <w:numId w:val="1"/>
        </w:numPr>
        <w:ind w:left="0" w:firstLine="0"/>
        <w:rPr>
          <w:rFonts w:eastAsiaTheme="minorEastAsia"/>
        </w:rPr>
      </w:pPr>
      <w:r>
        <w:rPr>
          <w:rFonts w:hint="eastAsia" w:eastAsiaTheme="minorEastAsia"/>
        </w:rPr>
        <w:t>暖通设施设备</w:t>
      </w:r>
    </w:p>
    <w:p>
      <w:pPr>
        <w:pStyle w:val="4"/>
        <w:numPr>
          <w:ilvl w:val="2"/>
          <w:numId w:val="1"/>
        </w:numPr>
        <w:ind w:left="0" w:firstLine="0"/>
        <w:rPr>
          <w:kern w:val="0"/>
          <w:lang w:val="zh-CN"/>
        </w:rPr>
      </w:pPr>
      <w:r>
        <w:rPr>
          <w:rFonts w:hint="eastAsia"/>
          <w:kern w:val="0"/>
          <w:lang w:val="zh-CN"/>
        </w:rPr>
        <w:t>暖通设施设备的完损状况检查应包括下列主要内容：</w:t>
      </w:r>
    </w:p>
    <w:p>
      <w:pPr>
        <w:pStyle w:val="74"/>
        <w:rPr>
          <w:kern w:val="0"/>
        </w:rPr>
      </w:pPr>
      <w:r>
        <w:rPr>
          <w:kern w:val="0"/>
        </w:rPr>
        <w:t xml:space="preserve">1 </w:t>
      </w:r>
      <w:r>
        <w:rPr>
          <w:rFonts w:hint="eastAsia"/>
          <w:kern w:val="0"/>
        </w:rPr>
        <w:t>设施、管道及烟道的畅通性能、渗漏水情况；</w:t>
      </w:r>
    </w:p>
    <w:p>
      <w:pPr>
        <w:pStyle w:val="74"/>
        <w:rPr>
          <w:kern w:val="0"/>
          <w:szCs w:val="20"/>
        </w:rPr>
      </w:pPr>
      <w:r>
        <w:rPr>
          <w:kern w:val="0"/>
        </w:rPr>
        <w:t xml:space="preserve">2 </w:t>
      </w:r>
      <w:r>
        <w:rPr>
          <w:rFonts w:hint="eastAsia"/>
          <w:kern w:val="0"/>
        </w:rPr>
        <w:t>管材管片漆面的完整情况；</w:t>
      </w:r>
    </w:p>
    <w:p>
      <w:pPr>
        <w:pStyle w:val="74"/>
        <w:rPr>
          <w:kern w:val="0"/>
          <w:szCs w:val="20"/>
        </w:rPr>
      </w:pPr>
      <w:r>
        <w:rPr>
          <w:kern w:val="0"/>
        </w:rPr>
        <w:t>3</w:t>
      </w:r>
      <w:r>
        <w:rPr>
          <w:rFonts w:hint="eastAsia"/>
          <w:kern w:val="0"/>
        </w:rPr>
        <w:t>设施设备的完好性和使用性情况。</w:t>
      </w:r>
    </w:p>
    <w:p>
      <w:pPr>
        <w:pStyle w:val="4"/>
        <w:numPr>
          <w:ilvl w:val="2"/>
          <w:numId w:val="1"/>
        </w:numPr>
        <w:ind w:left="0" w:firstLine="0"/>
        <w:rPr>
          <w:kern w:val="0"/>
          <w:lang w:val="zh-CN"/>
        </w:rPr>
      </w:pPr>
      <w:r>
        <w:rPr>
          <w:rFonts w:hint="eastAsia"/>
          <w:kern w:val="0"/>
          <w:lang w:val="zh-CN"/>
        </w:rPr>
        <w:t>暖通设施设备的完损等级应按表</w:t>
      </w:r>
      <w:r>
        <w:rPr>
          <w:kern w:val="0"/>
          <w:lang w:val="zh-CN"/>
        </w:rPr>
        <w:t>4.1</w:t>
      </w:r>
      <w:r>
        <w:rPr>
          <w:rFonts w:hint="eastAsia"/>
          <w:kern w:val="0"/>
          <w:lang w:val="zh-CN"/>
        </w:rPr>
        <w:t>1</w:t>
      </w:r>
      <w:r>
        <w:rPr>
          <w:kern w:val="0"/>
          <w:lang w:val="zh-CN"/>
        </w:rPr>
        <w:t>.2</w:t>
      </w:r>
      <w:r>
        <w:rPr>
          <w:rFonts w:hint="eastAsia"/>
          <w:kern w:val="0"/>
          <w:lang w:val="zh-CN"/>
        </w:rPr>
        <w:t>进行评定。</w:t>
      </w:r>
    </w:p>
    <w:p>
      <w:pPr>
        <w:pStyle w:val="78"/>
        <w:rPr>
          <w:kern w:val="0"/>
        </w:rPr>
      </w:pPr>
      <w:r>
        <w:rPr>
          <w:rFonts w:hint="eastAsia"/>
          <w:kern w:val="0"/>
        </w:rPr>
        <w:t>表</w:t>
      </w:r>
      <w:r>
        <w:rPr>
          <w:kern w:val="0"/>
        </w:rPr>
        <w:t>4.1</w:t>
      </w:r>
      <w:r>
        <w:rPr>
          <w:rFonts w:hint="eastAsia"/>
          <w:kern w:val="0"/>
        </w:rPr>
        <w:t>1</w:t>
      </w:r>
      <w:r>
        <w:rPr>
          <w:kern w:val="0"/>
        </w:rPr>
        <w:t>.2</w:t>
      </w:r>
      <w:r>
        <w:rPr>
          <w:rFonts w:hint="eastAsia"/>
          <w:kern w:val="0"/>
        </w:rPr>
        <w:t>暖通设施设备完损等级评定</w:t>
      </w:r>
    </w:p>
    <w:tbl>
      <w:tblPr>
        <w:tblStyle w:val="3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完损等级</w:t>
            </w:r>
          </w:p>
        </w:tc>
        <w:tc>
          <w:tcPr>
            <w:tcW w:w="6846" w:type="dxa"/>
            <w:vAlign w:val="center"/>
          </w:tcPr>
          <w:p>
            <w:pPr>
              <w:jc w:val="center"/>
              <w:rPr>
                <w:rFonts w:ascii="宋体"/>
                <w:bCs/>
                <w:kern w:val="0"/>
                <w:szCs w:val="21"/>
                <w:lang w:val="zh-CN"/>
              </w:rPr>
            </w:pPr>
            <w:r>
              <w:rPr>
                <w:rFonts w:hint="eastAsia" w:ascii="宋体" w:hAnsi="宋体"/>
                <w:bCs/>
                <w:kern w:val="0"/>
                <w:szCs w:val="21"/>
                <w:lang w:val="zh-CN"/>
              </w:rPr>
              <w:t>损坏状况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①级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设备、管道、烟道畅通，管材管片漆面完整，无堵、冒、漏现象，可正常使用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②级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设备、管道、烟道基本畅通，管材管片漆面基本完整，无堵、冒、漏现象，个别零件损坏，基本可正常使用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③级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设备偶发故障，管道、烟道不畅，管材管片漆面大面积脱落，有滴、冒、跑现象，影响正常使用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bCs/>
                <w:kern w:val="0"/>
                <w:szCs w:val="21"/>
                <w:lang w:val="zh-CN"/>
              </w:rPr>
            </w:pPr>
            <w:r>
              <w:rPr>
                <w:rFonts w:hint="eastAsia" w:ascii="宋体" w:hAnsi="宋体"/>
                <w:bCs/>
                <w:kern w:val="0"/>
                <w:szCs w:val="21"/>
                <w:lang w:val="zh-CN"/>
              </w:rPr>
              <w:t>④级</w:t>
            </w:r>
          </w:p>
        </w:tc>
        <w:tc>
          <w:tcPr>
            <w:tcW w:w="6846" w:type="dxa"/>
            <w:vAlign w:val="center"/>
          </w:tcPr>
          <w:p>
            <w:pPr>
              <w:ind w:firstLine="420" w:firstLineChars="200"/>
              <w:rPr>
                <w:rFonts w:ascii="宋体"/>
                <w:bCs/>
                <w:kern w:val="0"/>
                <w:szCs w:val="21"/>
                <w:lang w:val="zh-CN"/>
              </w:rPr>
            </w:pPr>
            <w:r>
              <w:rPr>
                <w:rFonts w:hint="eastAsia" w:ascii="宋体" w:hAnsi="宋体"/>
                <w:bCs/>
                <w:kern w:val="0"/>
                <w:szCs w:val="21"/>
                <w:lang w:val="zh-CN"/>
              </w:rPr>
              <w:t>设备频发故障，管道、烟道堵塞，管材管片漆面严重锈蚀，有滴、冒、跑现象，严重影响正常使用</w:t>
            </w:r>
          </w:p>
        </w:tc>
      </w:tr>
      <w:bookmarkEnd w:id="62"/>
      <w:bookmarkEnd w:id="63"/>
      <w:bookmarkEnd w:id="64"/>
      <w:bookmarkEnd w:id="65"/>
      <w:bookmarkEnd w:id="66"/>
    </w:tbl>
    <w:p>
      <w:pPr>
        <w:pStyle w:val="74"/>
        <w:rPr>
          <w:lang w:val="en-US"/>
        </w:rPr>
        <w:sectPr>
          <w:footerReference r:id="rId9" w:type="default"/>
          <w:pgSz w:w="11906" w:h="16838"/>
          <w:pgMar w:top="1440" w:right="1800" w:bottom="1440" w:left="1800" w:header="851" w:footer="992" w:gutter="0"/>
          <w:cols w:space="425" w:num="1"/>
          <w:docGrid w:type="lines" w:linePitch="312" w:charSpace="0"/>
        </w:sectPr>
      </w:pPr>
    </w:p>
    <w:p>
      <w:pPr>
        <w:pStyle w:val="2"/>
        <w:rPr>
          <w:rFonts w:ascii="宋体" w:hAnsi="宋体" w:eastAsia="宋体"/>
          <w:sz w:val="30"/>
          <w:szCs w:val="30"/>
          <w:lang w:val="zh-CN"/>
        </w:rPr>
      </w:pPr>
      <w:bookmarkStart w:id="115" w:name="_Toc485909290"/>
      <w:bookmarkStart w:id="116" w:name="_Toc42149917"/>
      <w:bookmarkStart w:id="117" w:name="_Toc36905715"/>
      <w:bookmarkStart w:id="118" w:name="_Toc42149879"/>
      <w:bookmarkStart w:id="119" w:name="_Toc36906684"/>
      <w:r>
        <w:rPr>
          <w:rFonts w:hint="eastAsia" w:ascii="宋体" w:hAnsi="宋体" w:eastAsia="宋体"/>
          <w:sz w:val="30"/>
          <w:szCs w:val="30"/>
          <w:lang w:val="zh-CN"/>
        </w:rPr>
        <w:t>分项及评定单元完损等级</w:t>
      </w:r>
      <w:bookmarkEnd w:id="115"/>
      <w:r>
        <w:rPr>
          <w:rFonts w:hint="eastAsia" w:ascii="宋体" w:hAnsi="宋体" w:eastAsia="宋体"/>
          <w:sz w:val="30"/>
          <w:szCs w:val="30"/>
          <w:lang w:val="zh-CN"/>
        </w:rPr>
        <w:t>评定</w:t>
      </w:r>
      <w:bookmarkEnd w:id="116"/>
      <w:bookmarkEnd w:id="117"/>
      <w:bookmarkEnd w:id="118"/>
      <w:bookmarkEnd w:id="119"/>
    </w:p>
    <w:p>
      <w:pPr>
        <w:pStyle w:val="3"/>
        <w:numPr>
          <w:ilvl w:val="1"/>
          <w:numId w:val="1"/>
        </w:numPr>
        <w:ind w:left="0" w:firstLine="0"/>
        <w:rPr>
          <w:rFonts w:eastAsiaTheme="minorEastAsia"/>
        </w:rPr>
      </w:pPr>
      <w:bookmarkStart w:id="120" w:name="_Toc42149880"/>
      <w:bookmarkStart w:id="121" w:name="_Toc36905716"/>
      <w:bookmarkStart w:id="122" w:name="_Toc485909292"/>
      <w:bookmarkStart w:id="123" w:name="_Toc36906685"/>
      <w:bookmarkStart w:id="124" w:name="_Toc42149918"/>
      <w:bookmarkStart w:id="125" w:name="_Toc488307150"/>
      <w:bookmarkStart w:id="126" w:name="_Toc306960855"/>
      <w:bookmarkStart w:id="127" w:name="_Toc427329091"/>
      <w:bookmarkStart w:id="128" w:name="_Toc484520066"/>
      <w:bookmarkStart w:id="129" w:name="_Toc480540032"/>
      <w:r>
        <w:rPr>
          <w:rFonts w:hint="eastAsia" w:eastAsiaTheme="minorEastAsia"/>
        </w:rPr>
        <w:t>分项</w:t>
      </w:r>
      <w:bookmarkEnd w:id="120"/>
      <w:bookmarkEnd w:id="121"/>
      <w:bookmarkEnd w:id="122"/>
      <w:bookmarkEnd w:id="123"/>
      <w:bookmarkEnd w:id="124"/>
      <w:bookmarkEnd w:id="125"/>
    </w:p>
    <w:p>
      <w:pPr>
        <w:pStyle w:val="4"/>
        <w:ind w:left="0" w:firstLine="0"/>
        <w:rPr>
          <w:kern w:val="0"/>
          <w:lang w:val="zh-CN"/>
        </w:rPr>
      </w:pPr>
      <w:bookmarkStart w:id="130" w:name="_Hlk493148573"/>
      <w:r>
        <w:rPr>
          <w:rFonts w:hint="eastAsia"/>
          <w:kern w:val="0"/>
          <w:lang w:val="zh-CN"/>
        </w:rPr>
        <w:t>建筑装饰部分各子项的权重系数应按表5.1.1计算。</w:t>
      </w:r>
    </w:p>
    <w:p>
      <w:pPr>
        <w:pStyle w:val="78"/>
        <w:rPr>
          <w:rFonts w:ascii="宋体" w:hAnsi="宋体"/>
        </w:rPr>
      </w:pPr>
      <w:r>
        <w:rPr>
          <w:rFonts w:hAnsi="宋体" w:cs="Times New Roman"/>
        </w:rPr>
        <w:t>表</w:t>
      </w:r>
      <w:r>
        <w:rPr>
          <w:rFonts w:cs="Times New Roman"/>
        </w:rPr>
        <w:t xml:space="preserve">5.1.1 </w:t>
      </w:r>
      <w:r>
        <w:rPr>
          <w:rFonts w:hAnsi="宋体" w:cs="Times New Roman"/>
        </w:rPr>
        <w:t>建筑装饰部</w:t>
      </w:r>
      <w:r>
        <w:rPr>
          <w:rFonts w:hint="eastAsia" w:ascii="宋体" w:hAnsi="宋体"/>
        </w:rPr>
        <w:t>分各子项权重系数</w:t>
      </w:r>
    </w:p>
    <w:tbl>
      <w:tblPr>
        <w:tblStyle w:val="35"/>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17"/>
        <w:gridCol w:w="2263"/>
        <w:gridCol w:w="2197"/>
        <w:gridCol w:w="28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4" w:type="pct"/>
            <w:vAlign w:val="center"/>
          </w:tcPr>
          <w:p>
            <w:pPr>
              <w:widowControl/>
              <w:spacing w:line="360" w:lineRule="auto"/>
              <w:jc w:val="center"/>
              <w:rPr>
                <w:color w:val="000000"/>
                <w:kern w:val="0"/>
                <w:szCs w:val="21"/>
              </w:rPr>
            </w:pPr>
            <w:r>
              <w:rPr>
                <w:color w:val="000000"/>
                <w:kern w:val="0"/>
                <w:szCs w:val="21"/>
              </w:rPr>
              <w:t>分项</w:t>
            </w:r>
          </w:p>
        </w:tc>
        <w:tc>
          <w:tcPr>
            <w:tcW w:w="1328" w:type="pct"/>
            <w:vAlign w:val="center"/>
          </w:tcPr>
          <w:p>
            <w:pPr>
              <w:widowControl/>
              <w:spacing w:line="360" w:lineRule="auto"/>
              <w:jc w:val="center"/>
              <w:rPr>
                <w:color w:val="000000"/>
                <w:kern w:val="0"/>
                <w:szCs w:val="21"/>
              </w:rPr>
            </w:pPr>
            <w:r>
              <w:rPr>
                <w:color w:val="000000"/>
                <w:kern w:val="0"/>
                <w:szCs w:val="21"/>
              </w:rPr>
              <w:t>子项</w:t>
            </w:r>
          </w:p>
        </w:tc>
        <w:tc>
          <w:tcPr>
            <w:tcW w:w="1289" w:type="pct"/>
            <w:vAlign w:val="center"/>
          </w:tcPr>
          <w:p>
            <w:pPr>
              <w:widowControl/>
              <w:spacing w:line="360" w:lineRule="auto"/>
              <w:jc w:val="center"/>
              <w:rPr>
                <w:color w:val="000000"/>
                <w:kern w:val="0"/>
                <w:szCs w:val="21"/>
              </w:rPr>
            </w:pPr>
            <w:r>
              <w:rPr>
                <w:color w:val="000000"/>
                <w:kern w:val="0"/>
                <w:szCs w:val="21"/>
              </w:rPr>
              <w:t>权重</w:t>
            </w:r>
            <w:r>
              <w:rPr>
                <w:rFonts w:hint="eastAsia"/>
                <w:color w:val="000000"/>
                <w:kern w:val="0"/>
                <w:szCs w:val="21"/>
              </w:rPr>
              <w:t>系数</w:t>
            </w:r>
            <w:r>
              <w:rPr>
                <w:color w:val="000000"/>
                <w:kern w:val="0"/>
                <w:szCs w:val="21"/>
              </w:rPr>
              <w:t>（w）</w:t>
            </w:r>
          </w:p>
        </w:tc>
        <w:tc>
          <w:tcPr>
            <w:tcW w:w="1669" w:type="pct"/>
            <w:vAlign w:val="center"/>
          </w:tcPr>
          <w:p>
            <w:pPr>
              <w:widowControl/>
              <w:spacing w:line="360" w:lineRule="auto"/>
              <w:jc w:val="center"/>
              <w:rPr>
                <w:color w:val="000000"/>
                <w:kern w:val="0"/>
                <w:szCs w:val="21"/>
              </w:rPr>
            </w:pPr>
            <w:r>
              <w:rPr>
                <w:rFonts w:hint="eastAsia"/>
                <w:color w:val="000000"/>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4" w:type="pct"/>
            <w:vMerge w:val="restart"/>
            <w:vAlign w:val="center"/>
          </w:tcPr>
          <w:p>
            <w:pPr>
              <w:widowControl/>
              <w:jc w:val="center"/>
              <w:rPr>
                <w:color w:val="000000"/>
                <w:kern w:val="0"/>
                <w:szCs w:val="21"/>
              </w:rPr>
            </w:pPr>
            <w:r>
              <w:rPr>
                <w:color w:val="000000"/>
                <w:kern w:val="0"/>
                <w:szCs w:val="21"/>
              </w:rPr>
              <w:t>建筑装饰部分评级</w:t>
            </w:r>
          </w:p>
        </w:tc>
        <w:tc>
          <w:tcPr>
            <w:tcW w:w="1328" w:type="pct"/>
            <w:vAlign w:val="center"/>
          </w:tcPr>
          <w:p>
            <w:pPr>
              <w:widowControl/>
              <w:spacing w:line="360" w:lineRule="auto"/>
              <w:jc w:val="center"/>
              <w:rPr>
                <w:color w:val="000000"/>
                <w:kern w:val="0"/>
                <w:szCs w:val="21"/>
              </w:rPr>
            </w:pPr>
            <w:r>
              <w:rPr>
                <w:color w:val="000000"/>
                <w:kern w:val="0"/>
                <w:szCs w:val="21"/>
              </w:rPr>
              <w:t>屋面</w:t>
            </w:r>
            <w:r>
              <w:rPr>
                <w:rFonts w:hint="eastAsia"/>
                <w:color w:val="000000"/>
                <w:kern w:val="0"/>
                <w:szCs w:val="21"/>
              </w:rPr>
              <w:t>（</w:t>
            </w:r>
            <w:r>
              <w:rPr>
                <w:rFonts w:hint="eastAsia"/>
                <w:i/>
                <w:color w:val="000000"/>
                <w:kern w:val="0"/>
                <w:szCs w:val="21"/>
              </w:rPr>
              <w:t>w</w:t>
            </w:r>
            <w:r>
              <w:rPr>
                <w:color w:val="000000"/>
                <w:kern w:val="0"/>
                <w:szCs w:val="21"/>
                <w:vertAlign w:val="subscript"/>
              </w:rPr>
              <w:t>1</w:t>
            </w:r>
            <w:r>
              <w:rPr>
                <w:rFonts w:hint="eastAsia"/>
                <w:color w:val="000000"/>
                <w:kern w:val="0"/>
                <w:szCs w:val="21"/>
              </w:rPr>
              <w:t>）</w:t>
            </w:r>
          </w:p>
        </w:tc>
        <w:tc>
          <w:tcPr>
            <w:tcW w:w="1289" w:type="pct"/>
            <w:vAlign w:val="center"/>
          </w:tcPr>
          <w:p>
            <w:pPr>
              <w:widowControl/>
              <w:spacing w:before="156" w:beforeLines="50" w:after="156" w:afterLines="50"/>
              <w:jc w:val="center"/>
              <w:rPr>
                <w:color w:val="000000"/>
                <w:kern w:val="0"/>
                <w:szCs w:val="21"/>
                <w:vertAlign w:val="superscript"/>
              </w:rPr>
            </w:pPr>
            <w:r>
              <w:rPr>
                <w:color w:val="000000"/>
                <w:kern w:val="0"/>
                <w:szCs w:val="21"/>
              </w:rPr>
              <w:t>0.20ξ</w:t>
            </w:r>
            <w:r>
              <w:rPr>
                <w:color w:val="000000"/>
                <w:kern w:val="0"/>
                <w:szCs w:val="21"/>
                <w:vertAlign w:val="subscript"/>
              </w:rPr>
              <w:t>1</w:t>
            </w:r>
          </w:p>
        </w:tc>
        <w:tc>
          <w:tcPr>
            <w:tcW w:w="1669" w:type="pct"/>
            <w:vAlign w:val="center"/>
          </w:tcPr>
          <w:p>
            <w:pPr>
              <w:widowControl/>
              <w:jc w:val="center"/>
              <w:rPr>
                <w:color w:val="000000"/>
                <w:kern w:val="0"/>
                <w:szCs w:val="21"/>
              </w:rPr>
            </w:pPr>
            <w:r>
              <w:rPr>
                <w:color w:val="000000"/>
                <w:kern w:val="0"/>
                <w:szCs w:val="21"/>
              </w:rPr>
              <w:t>ξ</w:t>
            </w:r>
            <w:r>
              <w:rPr>
                <w:color w:val="000000"/>
                <w:kern w:val="0"/>
                <w:szCs w:val="21"/>
                <w:vertAlign w:val="subscript"/>
              </w:rPr>
              <w:t>1</w:t>
            </w:r>
            <w:r>
              <w:rPr>
                <w:rFonts w:hint="eastAsia"/>
                <w:color w:val="000000"/>
                <w:kern w:val="0"/>
                <w:szCs w:val="21"/>
              </w:rPr>
              <w:t>=</w:t>
            </w:r>
            <w:r>
              <w:rPr>
                <w:color w:val="000000"/>
                <w:kern w:val="0"/>
                <w:szCs w:val="21"/>
              </w:rPr>
              <w:t>4/</w:t>
            </w:r>
            <w:r>
              <w:rPr>
                <w:rFonts w:hint="eastAsia"/>
                <w:color w:val="000000"/>
                <w:kern w:val="0"/>
                <w:szCs w:val="21"/>
              </w:rPr>
              <w:t>n；</w:t>
            </w:r>
            <w:r>
              <w:rPr>
                <w:color w:val="000000"/>
                <w:kern w:val="0"/>
                <w:szCs w:val="21"/>
              </w:rPr>
              <w:t>ξ</w:t>
            </w:r>
            <w:r>
              <w:rPr>
                <w:color w:val="000000"/>
                <w:kern w:val="0"/>
                <w:szCs w:val="21"/>
                <w:vertAlign w:val="subscript"/>
              </w:rPr>
              <w:t>1</w:t>
            </w:r>
            <w:r>
              <w:rPr>
                <w:color w:val="000000"/>
                <w:kern w:val="0"/>
                <w:szCs w:val="21"/>
              </w:rPr>
              <w:t>&lt;0.25</w:t>
            </w:r>
            <w:r>
              <w:rPr>
                <w:rFonts w:hint="eastAsia"/>
                <w:color w:val="000000"/>
                <w:kern w:val="0"/>
                <w:szCs w:val="21"/>
              </w:rPr>
              <w:t>时取</w:t>
            </w:r>
            <w:r>
              <w:rPr>
                <w:color w:val="000000"/>
                <w:kern w:val="0"/>
                <w:szCs w:val="21"/>
              </w:rPr>
              <w:t>0.25</w:t>
            </w:r>
            <w:r>
              <w:rPr>
                <w:rFonts w:hint="eastAsia"/>
                <w:color w:val="000000"/>
                <w:kern w:val="0"/>
                <w:szCs w:val="21"/>
              </w:rPr>
              <w:t>；</w:t>
            </w:r>
          </w:p>
          <w:p>
            <w:pPr>
              <w:widowControl/>
              <w:jc w:val="center"/>
              <w:rPr>
                <w:color w:val="000000"/>
                <w:kern w:val="0"/>
                <w:szCs w:val="21"/>
              </w:rPr>
            </w:pPr>
            <w:r>
              <w:rPr>
                <w:color w:val="000000"/>
                <w:kern w:val="0"/>
                <w:szCs w:val="21"/>
              </w:rPr>
              <w:t>ξ</w:t>
            </w:r>
            <w:r>
              <w:rPr>
                <w:color w:val="000000"/>
                <w:kern w:val="0"/>
                <w:szCs w:val="21"/>
                <w:vertAlign w:val="subscript"/>
              </w:rPr>
              <w:t>1</w:t>
            </w:r>
            <w:r>
              <w:rPr>
                <w:color w:val="000000"/>
                <w:kern w:val="0"/>
                <w:szCs w:val="21"/>
              </w:rPr>
              <w:t>&gt;1.0</w:t>
            </w:r>
            <w:r>
              <w:rPr>
                <w:rFonts w:hint="eastAsia"/>
                <w:color w:val="000000"/>
                <w:kern w:val="0"/>
                <w:szCs w:val="21"/>
              </w:rPr>
              <w:t>时，取</w:t>
            </w:r>
            <w:r>
              <w:rPr>
                <w:color w:val="000000"/>
                <w:kern w:val="0"/>
                <w:szCs w:val="21"/>
              </w:rPr>
              <w:t>1.0</w:t>
            </w:r>
            <w:r>
              <w:rPr>
                <w:rFonts w:hint="eastAsia"/>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4" w:type="pct"/>
            <w:vMerge w:val="continue"/>
            <w:vAlign w:val="center"/>
          </w:tcPr>
          <w:p>
            <w:pPr>
              <w:widowControl/>
              <w:jc w:val="center"/>
              <w:rPr>
                <w:color w:val="000000"/>
                <w:kern w:val="0"/>
                <w:szCs w:val="21"/>
              </w:rPr>
            </w:pPr>
          </w:p>
        </w:tc>
        <w:tc>
          <w:tcPr>
            <w:tcW w:w="1328" w:type="pct"/>
            <w:vAlign w:val="center"/>
          </w:tcPr>
          <w:p>
            <w:pPr>
              <w:widowControl/>
              <w:spacing w:line="360" w:lineRule="auto"/>
              <w:jc w:val="center"/>
              <w:rPr>
                <w:color w:val="000000"/>
                <w:kern w:val="0"/>
                <w:szCs w:val="21"/>
              </w:rPr>
            </w:pPr>
            <w:r>
              <w:rPr>
                <w:color w:val="000000"/>
                <w:kern w:val="0"/>
                <w:szCs w:val="21"/>
              </w:rPr>
              <w:t>外立面</w:t>
            </w:r>
            <w:r>
              <w:rPr>
                <w:rFonts w:hint="eastAsia"/>
                <w:color w:val="000000"/>
                <w:kern w:val="0"/>
                <w:szCs w:val="21"/>
              </w:rPr>
              <w:t>（</w:t>
            </w:r>
            <w:r>
              <w:rPr>
                <w:rFonts w:hint="eastAsia"/>
                <w:i/>
                <w:color w:val="000000"/>
                <w:kern w:val="0"/>
                <w:szCs w:val="21"/>
              </w:rPr>
              <w:t>w</w:t>
            </w:r>
            <w:r>
              <w:rPr>
                <w:color w:val="000000"/>
                <w:kern w:val="0"/>
                <w:szCs w:val="21"/>
                <w:vertAlign w:val="subscript"/>
              </w:rPr>
              <w:t>2</w:t>
            </w:r>
            <w:r>
              <w:rPr>
                <w:rFonts w:hint="eastAsia"/>
                <w:color w:val="000000"/>
                <w:kern w:val="0"/>
                <w:szCs w:val="21"/>
              </w:rPr>
              <w:t>）</w:t>
            </w:r>
          </w:p>
        </w:tc>
        <w:tc>
          <w:tcPr>
            <w:tcW w:w="1289" w:type="pct"/>
            <w:vAlign w:val="center"/>
          </w:tcPr>
          <w:p>
            <w:pPr>
              <w:widowControl/>
              <w:jc w:val="center"/>
              <w:rPr>
                <w:color w:val="000000"/>
                <w:kern w:val="0"/>
                <w:szCs w:val="21"/>
              </w:rPr>
            </w:pPr>
            <w:r>
              <w:rPr>
                <w:color w:val="000000"/>
                <w:kern w:val="0"/>
                <w:szCs w:val="21"/>
              </w:rPr>
              <w:t>（1-</w:t>
            </w:r>
            <w:r>
              <w:rPr>
                <w:rFonts w:hint="eastAsia"/>
                <w:i/>
                <w:color w:val="000000"/>
                <w:kern w:val="0"/>
                <w:szCs w:val="21"/>
              </w:rPr>
              <w:t>w</w:t>
            </w:r>
            <w:r>
              <w:rPr>
                <w:rFonts w:hint="eastAsia"/>
                <w:color w:val="000000"/>
                <w:kern w:val="0"/>
                <w:szCs w:val="21"/>
                <w:vertAlign w:val="subscript"/>
              </w:rPr>
              <w:t>1</w:t>
            </w:r>
            <w:r>
              <w:rPr>
                <w:rFonts w:hint="eastAsia"/>
                <w:color w:val="000000"/>
                <w:kern w:val="0"/>
                <w:szCs w:val="21"/>
              </w:rPr>
              <w:t>-</w:t>
            </w:r>
            <w:r>
              <w:rPr>
                <w:rFonts w:hint="eastAsia"/>
                <w:i/>
                <w:color w:val="000000"/>
                <w:kern w:val="0"/>
                <w:szCs w:val="21"/>
              </w:rPr>
              <w:t>w</w:t>
            </w:r>
            <w:r>
              <w:rPr>
                <w:color w:val="000000"/>
                <w:kern w:val="0"/>
                <w:szCs w:val="21"/>
                <w:vertAlign w:val="subscript"/>
              </w:rPr>
              <w:t>4</w:t>
            </w:r>
            <w:r>
              <w:rPr>
                <w:color w:val="000000"/>
                <w:kern w:val="0"/>
                <w:szCs w:val="21"/>
              </w:rPr>
              <w:t>-</w:t>
            </w:r>
            <w:r>
              <w:rPr>
                <w:rFonts w:hint="eastAsia"/>
                <w:i/>
                <w:color w:val="000000"/>
                <w:kern w:val="0"/>
                <w:szCs w:val="21"/>
              </w:rPr>
              <w:t>w</w:t>
            </w:r>
            <w:r>
              <w:rPr>
                <w:color w:val="000000"/>
                <w:kern w:val="0"/>
                <w:szCs w:val="21"/>
                <w:vertAlign w:val="subscript"/>
              </w:rPr>
              <w:t>5</w:t>
            </w:r>
            <w:r>
              <w:rPr>
                <w:rFonts w:hint="eastAsia"/>
                <w:color w:val="000000"/>
                <w:kern w:val="0"/>
                <w:szCs w:val="21"/>
              </w:rPr>
              <w:t>）</w:t>
            </w:r>
            <w:r>
              <w:rPr>
                <w:color w:val="000000"/>
                <w:kern w:val="0"/>
                <w:szCs w:val="21"/>
              </w:rPr>
              <w:t>/2</w:t>
            </w:r>
          </w:p>
        </w:tc>
        <w:tc>
          <w:tcPr>
            <w:tcW w:w="1669" w:type="pct"/>
            <w:vAlign w:val="center"/>
          </w:tcPr>
          <w:p>
            <w:pPr>
              <w:widowControl/>
              <w:jc w:val="center"/>
              <w:rPr>
                <w:color w:val="000000"/>
                <w:kern w:val="0"/>
                <w:szCs w:val="21"/>
              </w:rPr>
            </w:pPr>
            <w:r>
              <w:rPr>
                <w:rFonts w:hint="eastAsia"/>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4" w:type="pct"/>
            <w:vMerge w:val="continue"/>
            <w:vAlign w:val="center"/>
          </w:tcPr>
          <w:p>
            <w:pPr>
              <w:widowControl/>
              <w:jc w:val="center"/>
              <w:rPr>
                <w:color w:val="000000"/>
                <w:kern w:val="0"/>
                <w:szCs w:val="21"/>
              </w:rPr>
            </w:pPr>
          </w:p>
        </w:tc>
        <w:tc>
          <w:tcPr>
            <w:tcW w:w="1328" w:type="pct"/>
            <w:vAlign w:val="center"/>
          </w:tcPr>
          <w:p>
            <w:pPr>
              <w:widowControl/>
              <w:spacing w:line="360" w:lineRule="auto"/>
              <w:jc w:val="center"/>
              <w:rPr>
                <w:color w:val="000000"/>
                <w:kern w:val="0"/>
                <w:szCs w:val="21"/>
              </w:rPr>
            </w:pPr>
            <w:r>
              <w:rPr>
                <w:color w:val="000000"/>
                <w:kern w:val="0"/>
                <w:szCs w:val="21"/>
              </w:rPr>
              <w:t>室内建筑装饰</w:t>
            </w:r>
            <w:r>
              <w:rPr>
                <w:rFonts w:hint="eastAsia"/>
                <w:color w:val="000000"/>
                <w:kern w:val="0"/>
                <w:szCs w:val="21"/>
              </w:rPr>
              <w:t>（</w:t>
            </w:r>
            <w:r>
              <w:rPr>
                <w:rFonts w:hint="eastAsia"/>
                <w:i/>
                <w:color w:val="000000"/>
                <w:kern w:val="0"/>
                <w:szCs w:val="21"/>
              </w:rPr>
              <w:t>w</w:t>
            </w:r>
            <w:r>
              <w:rPr>
                <w:color w:val="000000"/>
                <w:kern w:val="0"/>
                <w:szCs w:val="21"/>
                <w:vertAlign w:val="subscript"/>
              </w:rPr>
              <w:t>3</w:t>
            </w:r>
            <w:r>
              <w:rPr>
                <w:rFonts w:hint="eastAsia"/>
                <w:color w:val="000000"/>
                <w:kern w:val="0"/>
                <w:szCs w:val="21"/>
              </w:rPr>
              <w:t>）</w:t>
            </w:r>
          </w:p>
        </w:tc>
        <w:tc>
          <w:tcPr>
            <w:tcW w:w="1289" w:type="pct"/>
            <w:vAlign w:val="center"/>
          </w:tcPr>
          <w:p>
            <w:pPr>
              <w:widowControl/>
              <w:jc w:val="center"/>
              <w:rPr>
                <w:color w:val="000000"/>
                <w:kern w:val="0"/>
                <w:szCs w:val="21"/>
              </w:rPr>
            </w:pPr>
            <w:r>
              <w:rPr>
                <w:color w:val="000000"/>
                <w:kern w:val="0"/>
                <w:szCs w:val="21"/>
              </w:rPr>
              <w:t>（1-</w:t>
            </w:r>
            <w:r>
              <w:rPr>
                <w:rFonts w:hint="eastAsia"/>
                <w:i/>
                <w:color w:val="000000"/>
                <w:kern w:val="0"/>
                <w:szCs w:val="21"/>
              </w:rPr>
              <w:t>w</w:t>
            </w:r>
            <w:r>
              <w:rPr>
                <w:rFonts w:hint="eastAsia"/>
                <w:color w:val="000000"/>
                <w:kern w:val="0"/>
                <w:szCs w:val="21"/>
                <w:vertAlign w:val="subscript"/>
              </w:rPr>
              <w:t>1</w:t>
            </w:r>
            <w:r>
              <w:rPr>
                <w:rFonts w:hint="eastAsia"/>
                <w:color w:val="000000"/>
                <w:kern w:val="0"/>
                <w:szCs w:val="21"/>
              </w:rPr>
              <w:t>-</w:t>
            </w:r>
            <w:r>
              <w:rPr>
                <w:rFonts w:hint="eastAsia"/>
                <w:i/>
                <w:color w:val="000000"/>
                <w:kern w:val="0"/>
                <w:szCs w:val="21"/>
              </w:rPr>
              <w:t>w</w:t>
            </w:r>
            <w:r>
              <w:rPr>
                <w:color w:val="000000"/>
                <w:kern w:val="0"/>
                <w:szCs w:val="21"/>
                <w:vertAlign w:val="subscript"/>
              </w:rPr>
              <w:t>4</w:t>
            </w:r>
            <w:r>
              <w:rPr>
                <w:color w:val="000000"/>
                <w:kern w:val="0"/>
                <w:szCs w:val="21"/>
              </w:rPr>
              <w:t>-</w:t>
            </w:r>
            <w:r>
              <w:rPr>
                <w:rFonts w:hint="eastAsia"/>
                <w:i/>
                <w:color w:val="000000"/>
                <w:kern w:val="0"/>
                <w:szCs w:val="21"/>
              </w:rPr>
              <w:t>w</w:t>
            </w:r>
            <w:r>
              <w:rPr>
                <w:color w:val="000000"/>
                <w:kern w:val="0"/>
                <w:szCs w:val="21"/>
                <w:vertAlign w:val="subscript"/>
              </w:rPr>
              <w:t>5</w:t>
            </w:r>
            <w:r>
              <w:rPr>
                <w:rFonts w:hint="eastAsia"/>
                <w:color w:val="000000"/>
                <w:kern w:val="0"/>
                <w:szCs w:val="21"/>
              </w:rPr>
              <w:t>）</w:t>
            </w:r>
            <w:r>
              <w:rPr>
                <w:color w:val="000000"/>
                <w:kern w:val="0"/>
                <w:szCs w:val="21"/>
              </w:rPr>
              <w:t>/2</w:t>
            </w:r>
          </w:p>
        </w:tc>
        <w:tc>
          <w:tcPr>
            <w:tcW w:w="1669" w:type="pct"/>
            <w:vAlign w:val="center"/>
          </w:tcPr>
          <w:p>
            <w:pPr>
              <w:widowControl/>
              <w:jc w:val="center"/>
              <w:rPr>
                <w:color w:val="000000"/>
                <w:kern w:val="0"/>
                <w:szCs w:val="21"/>
              </w:rPr>
            </w:pPr>
            <w:r>
              <w:rPr>
                <w:rFonts w:hint="eastAsia"/>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4" w:type="pct"/>
            <w:vMerge w:val="continue"/>
            <w:vAlign w:val="center"/>
          </w:tcPr>
          <w:p>
            <w:pPr>
              <w:widowControl/>
              <w:jc w:val="center"/>
              <w:rPr>
                <w:color w:val="000000"/>
                <w:kern w:val="0"/>
                <w:szCs w:val="21"/>
              </w:rPr>
            </w:pPr>
          </w:p>
        </w:tc>
        <w:tc>
          <w:tcPr>
            <w:tcW w:w="1328" w:type="pct"/>
            <w:vAlign w:val="center"/>
          </w:tcPr>
          <w:p>
            <w:pPr>
              <w:widowControl/>
              <w:spacing w:line="360" w:lineRule="auto"/>
              <w:jc w:val="center"/>
              <w:rPr>
                <w:color w:val="000000"/>
                <w:kern w:val="0"/>
                <w:szCs w:val="21"/>
              </w:rPr>
            </w:pPr>
            <w:r>
              <w:rPr>
                <w:color w:val="000000"/>
                <w:kern w:val="0"/>
                <w:szCs w:val="21"/>
              </w:rPr>
              <w:t>门窗</w:t>
            </w:r>
            <w:r>
              <w:rPr>
                <w:rFonts w:hint="eastAsia"/>
                <w:color w:val="000000"/>
                <w:kern w:val="0"/>
                <w:szCs w:val="21"/>
              </w:rPr>
              <w:t>（</w:t>
            </w:r>
            <w:r>
              <w:rPr>
                <w:rFonts w:hint="eastAsia"/>
                <w:i/>
                <w:color w:val="000000"/>
                <w:kern w:val="0"/>
                <w:szCs w:val="21"/>
              </w:rPr>
              <w:t>w</w:t>
            </w:r>
            <w:r>
              <w:rPr>
                <w:color w:val="000000"/>
                <w:kern w:val="0"/>
                <w:szCs w:val="21"/>
                <w:vertAlign w:val="subscript"/>
              </w:rPr>
              <w:t>4</w:t>
            </w:r>
            <w:r>
              <w:rPr>
                <w:rFonts w:hint="eastAsia"/>
                <w:color w:val="000000"/>
                <w:kern w:val="0"/>
                <w:szCs w:val="21"/>
              </w:rPr>
              <w:t>）</w:t>
            </w:r>
          </w:p>
        </w:tc>
        <w:tc>
          <w:tcPr>
            <w:tcW w:w="1289" w:type="pct"/>
            <w:vAlign w:val="center"/>
          </w:tcPr>
          <w:p>
            <w:pPr>
              <w:widowControl/>
              <w:jc w:val="center"/>
              <w:rPr>
                <w:color w:val="000000"/>
                <w:kern w:val="0"/>
                <w:szCs w:val="21"/>
              </w:rPr>
            </w:pPr>
            <w:r>
              <w:rPr>
                <w:color w:val="000000"/>
                <w:kern w:val="0"/>
                <w:szCs w:val="21"/>
              </w:rPr>
              <w:t>0.20ξ</w:t>
            </w:r>
            <w:r>
              <w:rPr>
                <w:color w:val="000000"/>
                <w:kern w:val="0"/>
                <w:szCs w:val="21"/>
                <w:vertAlign w:val="subscript"/>
              </w:rPr>
              <w:t>2</w:t>
            </w:r>
          </w:p>
        </w:tc>
        <w:tc>
          <w:tcPr>
            <w:tcW w:w="1669" w:type="pct"/>
            <w:vAlign w:val="center"/>
          </w:tcPr>
          <w:p>
            <w:pPr>
              <w:widowControl/>
              <w:jc w:val="center"/>
              <w:rPr>
                <w:color w:val="000000"/>
                <w:kern w:val="0"/>
                <w:szCs w:val="21"/>
              </w:rPr>
            </w:pPr>
            <w:r>
              <w:rPr>
                <w:color w:val="000000"/>
                <w:kern w:val="0"/>
                <w:szCs w:val="21"/>
              </w:rPr>
              <w:t>ξ</w:t>
            </w:r>
            <w:r>
              <w:rPr>
                <w:rFonts w:hint="eastAsia"/>
                <w:color w:val="000000"/>
                <w:kern w:val="0"/>
                <w:szCs w:val="21"/>
                <w:vertAlign w:val="subscript"/>
              </w:rPr>
              <w:t>2</w:t>
            </w:r>
            <w:r>
              <w:rPr>
                <w:color w:val="000000"/>
                <w:kern w:val="0"/>
                <w:szCs w:val="21"/>
              </w:rPr>
              <w:t>取0.7</w:t>
            </w:r>
            <w:r>
              <w:rPr>
                <w:rFonts w:hint="eastAsia"/>
                <w:color w:val="000000"/>
                <w:kern w:val="0"/>
                <w:szCs w:val="21"/>
              </w:rPr>
              <w:t>0</w:t>
            </w:r>
            <w:r>
              <w:rPr>
                <w:color w:val="000000"/>
                <w:kern w:val="0"/>
                <w:szCs w:val="21"/>
              </w:rPr>
              <w:t>~1.0</w:t>
            </w:r>
            <w:r>
              <w:rPr>
                <w:rFonts w:hint="eastAsia"/>
                <w:color w:val="000000"/>
                <w:kern w:val="0"/>
                <w:szCs w:val="21"/>
              </w:rPr>
              <w:t>0，门窗数量较少时取小值，较多时取大值。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4" w:type="pct"/>
            <w:vMerge w:val="continue"/>
            <w:vAlign w:val="center"/>
          </w:tcPr>
          <w:p>
            <w:pPr>
              <w:widowControl/>
              <w:jc w:val="center"/>
              <w:rPr>
                <w:color w:val="000000"/>
                <w:kern w:val="0"/>
                <w:szCs w:val="21"/>
              </w:rPr>
            </w:pPr>
          </w:p>
        </w:tc>
        <w:tc>
          <w:tcPr>
            <w:tcW w:w="1328" w:type="pct"/>
            <w:vAlign w:val="center"/>
          </w:tcPr>
          <w:p>
            <w:pPr>
              <w:widowControl/>
              <w:jc w:val="center"/>
              <w:rPr>
                <w:color w:val="000000"/>
                <w:kern w:val="0"/>
                <w:szCs w:val="21"/>
              </w:rPr>
            </w:pPr>
            <w:r>
              <w:rPr>
                <w:color w:val="000000"/>
                <w:kern w:val="0"/>
                <w:szCs w:val="21"/>
              </w:rPr>
              <w:t>其他非结构构件及建筑构造</w:t>
            </w:r>
            <w:r>
              <w:rPr>
                <w:rFonts w:hint="eastAsia"/>
                <w:color w:val="000000"/>
                <w:kern w:val="0"/>
                <w:szCs w:val="21"/>
              </w:rPr>
              <w:t>（</w:t>
            </w:r>
            <w:r>
              <w:rPr>
                <w:rFonts w:hint="eastAsia"/>
                <w:i/>
                <w:color w:val="000000"/>
                <w:kern w:val="0"/>
                <w:szCs w:val="21"/>
              </w:rPr>
              <w:t>w</w:t>
            </w:r>
            <w:r>
              <w:rPr>
                <w:color w:val="000000"/>
                <w:kern w:val="0"/>
                <w:szCs w:val="21"/>
                <w:vertAlign w:val="subscript"/>
              </w:rPr>
              <w:t>5</w:t>
            </w:r>
            <w:r>
              <w:rPr>
                <w:rFonts w:hint="eastAsia"/>
                <w:color w:val="000000"/>
                <w:kern w:val="0"/>
                <w:szCs w:val="21"/>
              </w:rPr>
              <w:t>）</w:t>
            </w:r>
          </w:p>
        </w:tc>
        <w:tc>
          <w:tcPr>
            <w:tcW w:w="1289" w:type="pct"/>
            <w:vAlign w:val="center"/>
          </w:tcPr>
          <w:p>
            <w:pPr>
              <w:widowControl/>
              <w:jc w:val="center"/>
              <w:rPr>
                <w:color w:val="000000"/>
                <w:kern w:val="0"/>
                <w:szCs w:val="21"/>
              </w:rPr>
            </w:pPr>
            <w:r>
              <w:rPr>
                <w:rFonts w:hint="eastAsia"/>
                <w:color w:val="000000"/>
                <w:kern w:val="0"/>
                <w:szCs w:val="21"/>
              </w:rPr>
              <w:t>0</w:t>
            </w:r>
            <w:r>
              <w:rPr>
                <w:color w:val="000000"/>
                <w:kern w:val="0"/>
                <w:szCs w:val="21"/>
              </w:rPr>
              <w:t>.20ξ</w:t>
            </w:r>
            <w:r>
              <w:rPr>
                <w:color w:val="000000"/>
                <w:kern w:val="0"/>
                <w:szCs w:val="21"/>
                <w:vertAlign w:val="subscript"/>
              </w:rPr>
              <w:t>3</w:t>
            </w:r>
          </w:p>
        </w:tc>
        <w:tc>
          <w:tcPr>
            <w:tcW w:w="1669" w:type="pct"/>
            <w:vAlign w:val="center"/>
          </w:tcPr>
          <w:p>
            <w:pPr>
              <w:widowControl/>
              <w:jc w:val="center"/>
              <w:rPr>
                <w:color w:val="000000"/>
                <w:kern w:val="0"/>
                <w:szCs w:val="21"/>
              </w:rPr>
            </w:pPr>
            <w:r>
              <w:rPr>
                <w:color w:val="000000"/>
                <w:kern w:val="0"/>
                <w:szCs w:val="21"/>
              </w:rPr>
              <w:t>ξ</w:t>
            </w:r>
            <w:r>
              <w:rPr>
                <w:color w:val="000000"/>
                <w:kern w:val="0"/>
                <w:szCs w:val="21"/>
                <w:vertAlign w:val="subscript"/>
              </w:rPr>
              <w:t>3</w:t>
            </w:r>
            <w:r>
              <w:rPr>
                <w:color w:val="000000"/>
                <w:kern w:val="0"/>
                <w:szCs w:val="21"/>
              </w:rPr>
              <w:t>取0.25~1.0</w:t>
            </w:r>
            <w:r>
              <w:rPr>
                <w:rFonts w:hint="eastAsia"/>
                <w:color w:val="000000"/>
                <w:kern w:val="0"/>
                <w:szCs w:val="21"/>
              </w:rPr>
              <w:t>0，非结构构件及构造数量较少时取小值，较多时取大值。</w:t>
            </w:r>
          </w:p>
        </w:tc>
      </w:tr>
    </w:tbl>
    <w:p>
      <w:pPr>
        <w:spacing w:line="276" w:lineRule="auto"/>
        <w:rPr>
          <w:lang w:val="zh-CN"/>
        </w:rPr>
      </w:pPr>
      <w:r>
        <w:rPr>
          <w:lang w:val="zh-CN"/>
        </w:rPr>
        <w:t>注：</w:t>
      </w:r>
    </w:p>
    <w:p>
      <w:pPr>
        <w:spacing w:line="276" w:lineRule="auto"/>
        <w:ind w:firstLine="420" w:firstLineChars="200"/>
        <w:rPr>
          <w:color w:val="000000"/>
          <w:kern w:val="0"/>
          <w:szCs w:val="21"/>
        </w:rPr>
      </w:pPr>
      <w:r>
        <w:rPr>
          <w:i/>
          <w:color w:val="000000"/>
          <w:kern w:val="0"/>
          <w:szCs w:val="21"/>
        </w:rPr>
        <w:t>w</w:t>
      </w:r>
      <w:r>
        <w:rPr>
          <w:rFonts w:hint="eastAsia"/>
          <w:color w:val="000000"/>
          <w:kern w:val="0"/>
          <w:szCs w:val="21"/>
          <w:vertAlign w:val="subscript"/>
        </w:rPr>
        <w:t>i</w:t>
      </w:r>
      <w:r>
        <w:rPr>
          <w:rFonts w:hint="eastAsia"/>
          <w:color w:val="000000"/>
          <w:kern w:val="0"/>
          <w:szCs w:val="21"/>
        </w:rPr>
        <w:t>——表示各子项权重系数；</w:t>
      </w:r>
    </w:p>
    <w:p>
      <w:pPr>
        <w:spacing w:line="276" w:lineRule="auto"/>
        <w:ind w:firstLine="420" w:firstLineChars="200"/>
        <w:rPr>
          <w:color w:val="000000"/>
          <w:kern w:val="0"/>
          <w:szCs w:val="21"/>
        </w:rPr>
      </w:pPr>
      <w:r>
        <w:rPr>
          <w:color w:val="000000"/>
          <w:kern w:val="0"/>
          <w:szCs w:val="21"/>
        </w:rPr>
        <w:t>ξ</w:t>
      </w:r>
      <w:r>
        <w:rPr>
          <w:rFonts w:hint="eastAsia"/>
          <w:color w:val="000000"/>
          <w:kern w:val="0"/>
          <w:szCs w:val="21"/>
          <w:vertAlign w:val="subscript"/>
        </w:rPr>
        <w:t>i</w:t>
      </w:r>
      <w:r>
        <w:rPr>
          <w:rFonts w:hint="eastAsia"/>
          <w:color w:val="000000"/>
          <w:kern w:val="0"/>
          <w:szCs w:val="21"/>
        </w:rPr>
        <w:t>——表示各子项权重调整系数。</w:t>
      </w:r>
    </w:p>
    <w:p>
      <w:pPr>
        <w:spacing w:line="276" w:lineRule="auto"/>
        <w:ind w:firstLine="420" w:firstLineChars="200"/>
        <w:rPr>
          <w:color w:val="000000"/>
          <w:kern w:val="0"/>
          <w:szCs w:val="21"/>
        </w:rPr>
      </w:pPr>
      <w:r>
        <w:rPr>
          <w:rFonts w:hint="eastAsia"/>
          <w:color w:val="000000"/>
          <w:kern w:val="0"/>
          <w:szCs w:val="21"/>
        </w:rPr>
        <w:t>n——表示房屋层数，包括地下室层数。</w:t>
      </w:r>
    </w:p>
    <w:p>
      <w:pPr>
        <w:pStyle w:val="4"/>
        <w:ind w:left="0" w:firstLine="0"/>
        <w:rPr>
          <w:kern w:val="0"/>
          <w:lang w:val="zh-CN"/>
        </w:rPr>
      </w:pPr>
      <w:r>
        <w:rPr>
          <w:rFonts w:hint="eastAsia"/>
          <w:kern w:val="0"/>
          <w:lang w:val="zh-CN"/>
        </w:rPr>
        <w:t>建筑装饰部分的完损等级，应根据建筑装饰部分各子项完损等级与对应权重系数，分别求出</w:t>
      </w:r>
      <w:r>
        <w:rPr>
          <w:rFonts w:hint="eastAsia" w:ascii="宋体" w:hAnsi="宋体"/>
          <w:color w:val="000000"/>
          <w:kern w:val="0"/>
          <w:szCs w:val="21"/>
        </w:rPr>
        <w:t>①级</w:t>
      </w:r>
      <w:r>
        <w:rPr>
          <w:color w:val="000000"/>
          <w:kern w:val="0"/>
          <w:szCs w:val="21"/>
        </w:rPr>
        <w:t>~</w:t>
      </w:r>
      <w:r>
        <w:rPr>
          <w:rFonts w:hint="eastAsia"/>
        </w:rPr>
        <w:t>④级子项的权重系数和，并应</w:t>
      </w:r>
      <w:r>
        <w:rPr>
          <w:rFonts w:hint="eastAsia"/>
          <w:kern w:val="0"/>
          <w:lang w:val="zh-CN"/>
        </w:rPr>
        <w:t>按下列规定进行评定：</w:t>
      </w:r>
    </w:p>
    <w:p>
      <w:pPr>
        <w:pStyle w:val="74"/>
      </w:pPr>
      <w:r>
        <w:t xml:space="preserve">1  </w:t>
      </w:r>
      <w:r>
        <w:rPr>
          <w:kern w:val="0"/>
        </w:rPr>
        <w:t>1</w:t>
      </w:r>
      <w:r>
        <w:rPr>
          <w:rFonts w:hint="eastAsia"/>
          <w:kern w:val="0"/>
        </w:rPr>
        <w:t>级：</w:t>
      </w:r>
      <w:r>
        <w:rPr>
          <w:rFonts w:hint="eastAsia"/>
        </w:rPr>
        <w:t>无③、④级子项，②级子项权重系数和不应超过</w:t>
      </w:r>
      <w:r>
        <w:t>0.2</w:t>
      </w:r>
      <w:r>
        <w:rPr>
          <w:rFonts w:hint="eastAsia"/>
        </w:rPr>
        <w:t>。</w:t>
      </w:r>
    </w:p>
    <w:p>
      <w:pPr>
        <w:pStyle w:val="74"/>
      </w:pPr>
      <w:r>
        <w:t xml:space="preserve">2  </w:t>
      </w:r>
      <w:r>
        <w:rPr>
          <w:kern w:val="0"/>
        </w:rPr>
        <w:t>2</w:t>
      </w:r>
      <w:r>
        <w:rPr>
          <w:rFonts w:hint="eastAsia"/>
          <w:kern w:val="0"/>
        </w:rPr>
        <w:t>级：</w:t>
      </w:r>
      <w:r>
        <w:rPr>
          <w:rFonts w:hint="eastAsia"/>
        </w:rPr>
        <w:t>无③、④级子项，②级子项权重系数和超过</w:t>
      </w:r>
      <w:r>
        <w:t>0.2</w:t>
      </w:r>
      <w:r>
        <w:rPr>
          <w:rFonts w:hint="eastAsia"/>
        </w:rPr>
        <w:t>。无④级子项，有③级子项且权重系数和不应超过</w:t>
      </w:r>
      <w:r>
        <w:t>0.3</w:t>
      </w:r>
      <w:r>
        <w:rPr>
          <w:rFonts w:hint="eastAsia"/>
        </w:rPr>
        <w:t>。</w:t>
      </w:r>
    </w:p>
    <w:p>
      <w:pPr>
        <w:pStyle w:val="74"/>
        <w:rPr>
          <w:kern w:val="0"/>
        </w:rPr>
      </w:pPr>
      <w:r>
        <w:t xml:space="preserve">3  </w:t>
      </w:r>
      <w:r>
        <w:rPr>
          <w:kern w:val="0"/>
        </w:rPr>
        <w:t>3</w:t>
      </w:r>
      <w:r>
        <w:rPr>
          <w:rFonts w:hint="eastAsia"/>
          <w:kern w:val="0"/>
        </w:rPr>
        <w:t>级：</w:t>
      </w:r>
      <w:r>
        <w:rPr>
          <w:rFonts w:hint="eastAsia"/>
        </w:rPr>
        <w:t>无④级子项，③级子项权重系数和超过</w:t>
      </w:r>
      <w:r>
        <w:t>0.3</w:t>
      </w:r>
      <w:r>
        <w:rPr>
          <w:rFonts w:hint="eastAsia"/>
        </w:rPr>
        <w:t>。</w:t>
      </w:r>
      <w:r>
        <w:rPr>
          <w:rFonts w:hint="eastAsia"/>
          <w:kern w:val="0"/>
        </w:rPr>
        <w:t>有</w:t>
      </w:r>
      <w:r>
        <w:rPr>
          <w:rFonts w:hint="eastAsia"/>
        </w:rPr>
        <w:t>④级子项且权重系数和不应超过0.</w:t>
      </w:r>
      <w:r>
        <w:t>2</w:t>
      </w:r>
      <w:r>
        <w:rPr>
          <w:rFonts w:hint="eastAsia"/>
        </w:rPr>
        <w:t>；</w:t>
      </w:r>
    </w:p>
    <w:p>
      <w:pPr>
        <w:pStyle w:val="74"/>
      </w:pPr>
      <w:r>
        <w:t xml:space="preserve">4  </w:t>
      </w:r>
      <w:r>
        <w:rPr>
          <w:kern w:val="0"/>
        </w:rPr>
        <w:t>4</w:t>
      </w:r>
      <w:r>
        <w:rPr>
          <w:rFonts w:hint="eastAsia"/>
          <w:kern w:val="0"/>
        </w:rPr>
        <w:t>级：</w:t>
      </w:r>
      <w:r>
        <w:rPr>
          <w:rFonts w:hint="eastAsia"/>
        </w:rPr>
        <w:t>④级子项权重和超过0.2。</w:t>
      </w:r>
    </w:p>
    <w:p>
      <w:pPr>
        <w:pStyle w:val="4"/>
        <w:ind w:left="0" w:firstLine="0"/>
      </w:pPr>
      <w:r>
        <w:rPr>
          <w:rFonts w:hint="eastAsia"/>
          <w:kern w:val="0"/>
          <w:lang w:val="zh-CN"/>
        </w:rPr>
        <w:t>结构部分、设施设备部分的完损等级，应根据相应子项的评定结果，按其中较低等级确定</w:t>
      </w:r>
      <w:r>
        <w:rPr>
          <w:rFonts w:hint="eastAsia"/>
        </w:rPr>
        <w:t>。</w:t>
      </w:r>
    </w:p>
    <w:bookmarkEnd w:id="126"/>
    <w:bookmarkEnd w:id="127"/>
    <w:bookmarkEnd w:id="128"/>
    <w:bookmarkEnd w:id="129"/>
    <w:bookmarkEnd w:id="130"/>
    <w:p>
      <w:pPr>
        <w:pStyle w:val="3"/>
        <w:numPr>
          <w:ilvl w:val="1"/>
          <w:numId w:val="1"/>
        </w:numPr>
        <w:ind w:left="0" w:firstLine="0"/>
        <w:rPr>
          <w:rFonts w:eastAsiaTheme="minorEastAsia"/>
        </w:rPr>
      </w:pPr>
      <w:bookmarkStart w:id="131" w:name="_Toc42149919"/>
      <w:bookmarkStart w:id="132" w:name="_Toc42149881"/>
      <w:bookmarkStart w:id="133" w:name="_Toc488307151"/>
      <w:bookmarkStart w:id="134" w:name="_Toc36906686"/>
      <w:bookmarkStart w:id="135" w:name="_Toc36905717"/>
      <w:r>
        <w:rPr>
          <w:rFonts w:hint="eastAsia" w:eastAsiaTheme="minorEastAsia"/>
        </w:rPr>
        <w:t>评定单元</w:t>
      </w:r>
      <w:bookmarkEnd w:id="131"/>
      <w:bookmarkEnd w:id="132"/>
      <w:bookmarkEnd w:id="133"/>
      <w:bookmarkEnd w:id="134"/>
      <w:bookmarkEnd w:id="135"/>
    </w:p>
    <w:p>
      <w:pPr>
        <w:pStyle w:val="4"/>
        <w:ind w:left="0" w:firstLine="0"/>
        <w:rPr>
          <w:kern w:val="0"/>
          <w:lang w:val="zh-CN"/>
        </w:rPr>
      </w:pPr>
      <w:r>
        <w:rPr>
          <w:rFonts w:hint="eastAsia"/>
          <w:kern w:val="0"/>
          <w:lang w:val="zh-CN"/>
        </w:rPr>
        <w:t>评定单元的完损等级，一级到四级应分别表示完好房、基本完好房、一般损坏房、严重损坏房。</w:t>
      </w:r>
    </w:p>
    <w:p>
      <w:pPr>
        <w:pStyle w:val="4"/>
        <w:ind w:left="0" w:firstLine="0"/>
        <w:rPr>
          <w:kern w:val="0"/>
          <w:lang w:val="zh-CN"/>
        </w:rPr>
      </w:pPr>
      <w:r>
        <w:rPr>
          <w:rFonts w:hint="eastAsia"/>
          <w:kern w:val="0"/>
          <w:lang w:val="zh-CN"/>
        </w:rPr>
        <w:t>评定单元的完损等级，根据分项的评定结果，应按下列规</w:t>
      </w:r>
      <w:r>
        <w:rPr>
          <w:kern w:val="0"/>
          <w:lang w:val="zh-CN"/>
        </w:rPr>
        <w:t>定评级：</w:t>
      </w:r>
    </w:p>
    <w:p>
      <w:pPr>
        <w:pStyle w:val="74"/>
        <w:rPr>
          <w:kern w:val="0"/>
        </w:rPr>
      </w:pPr>
      <w:r>
        <w:rPr>
          <w:kern w:val="0"/>
        </w:rPr>
        <w:t>1 一般情况下，应根据建筑装饰部分、结构部分的评定结果，按其中较低等级确定。</w:t>
      </w:r>
    </w:p>
    <w:p>
      <w:pPr>
        <w:pStyle w:val="74"/>
        <w:rPr>
          <w:kern w:val="0"/>
        </w:rPr>
      </w:pPr>
      <w:r>
        <w:rPr>
          <w:kern w:val="0"/>
        </w:rPr>
        <w:t>2 当评定单元的完损等级评为一级或二级，</w:t>
      </w:r>
      <w:r>
        <w:rPr>
          <w:rFonts w:hint="eastAsia"/>
          <w:kern w:val="0"/>
        </w:rPr>
        <w:t>且</w:t>
      </w:r>
      <w:r>
        <w:rPr>
          <w:kern w:val="0"/>
        </w:rPr>
        <w:t>设施设备部分的完损等级为3级或4级时，可根据实际情况将评定单元所评等级降低</w:t>
      </w:r>
      <w:r>
        <w:rPr>
          <w:rFonts w:hint="eastAsia"/>
          <w:kern w:val="0"/>
        </w:rPr>
        <w:t>1~2</w:t>
      </w:r>
      <w:r>
        <w:rPr>
          <w:kern w:val="0"/>
        </w:rPr>
        <w:t>级，但最后所定的等级不得低于三级。</w:t>
      </w:r>
    </w:p>
    <w:p>
      <w:pPr>
        <w:pStyle w:val="89"/>
        <w:rPr>
          <w:kern w:val="0"/>
        </w:rPr>
      </w:pPr>
    </w:p>
    <w:p>
      <w:pPr>
        <w:pStyle w:val="74"/>
        <w:rPr>
          <w:kern w:val="0"/>
        </w:rPr>
      </w:pPr>
    </w:p>
    <w:p>
      <w:pPr>
        <w:pStyle w:val="74"/>
        <w:sectPr>
          <w:footerReference r:id="rId10" w:type="default"/>
          <w:pgSz w:w="11906" w:h="16838"/>
          <w:pgMar w:top="1440" w:right="1800" w:bottom="1440" w:left="1800" w:header="851" w:footer="992" w:gutter="0"/>
          <w:cols w:space="425" w:num="1"/>
          <w:docGrid w:type="lines" w:linePitch="312" w:charSpace="0"/>
        </w:sectPr>
      </w:pPr>
    </w:p>
    <w:p>
      <w:pPr>
        <w:pStyle w:val="2"/>
        <w:rPr>
          <w:rFonts w:asciiTheme="minorEastAsia" w:hAnsiTheme="minorEastAsia" w:eastAsiaTheme="minorEastAsia"/>
          <w:sz w:val="30"/>
          <w:szCs w:val="30"/>
          <w:lang w:val="zh-CN"/>
        </w:rPr>
      </w:pPr>
      <w:bookmarkStart w:id="136" w:name="_Toc42149920"/>
      <w:bookmarkStart w:id="137" w:name="_Toc42149882"/>
      <w:bookmarkStart w:id="138" w:name="_Toc36906687"/>
      <w:bookmarkStart w:id="139" w:name="_Toc36905718"/>
      <w:r>
        <w:rPr>
          <w:rFonts w:hint="eastAsia" w:asciiTheme="minorEastAsia" w:hAnsiTheme="minorEastAsia" w:eastAsiaTheme="minorEastAsia"/>
          <w:sz w:val="30"/>
          <w:szCs w:val="30"/>
          <w:lang w:val="zh-CN"/>
        </w:rPr>
        <w:t>评定报告</w:t>
      </w:r>
      <w:bookmarkEnd w:id="136"/>
      <w:bookmarkEnd w:id="137"/>
      <w:bookmarkEnd w:id="138"/>
      <w:bookmarkEnd w:id="139"/>
    </w:p>
    <w:p>
      <w:pPr>
        <w:pStyle w:val="4"/>
        <w:numPr>
          <w:ilvl w:val="0"/>
          <w:numId w:val="0"/>
        </w:numPr>
      </w:pPr>
      <w:r>
        <w:t>6.0.1</w:t>
      </w:r>
      <w:r>
        <w:rPr>
          <w:rFonts w:hint="eastAsia"/>
        </w:rPr>
        <w:t>房屋完损等级评定报告宜包括下列内容：</w:t>
      </w:r>
    </w:p>
    <w:p>
      <w:pPr>
        <w:pStyle w:val="74"/>
      </w:pPr>
      <w:r>
        <w:rPr>
          <w:rFonts w:hint="eastAsia"/>
        </w:rPr>
        <w:t>1评定的目的、范围、依据及日期；</w:t>
      </w:r>
    </w:p>
    <w:p>
      <w:pPr>
        <w:pStyle w:val="74"/>
      </w:pPr>
      <w:r>
        <w:rPr>
          <w:rFonts w:hint="eastAsia"/>
        </w:rPr>
        <w:t>2房屋的建筑、结构概况，以及目前的使用情况等；</w:t>
      </w:r>
    </w:p>
    <w:p>
      <w:pPr>
        <w:pStyle w:val="74"/>
      </w:pPr>
      <w:r>
        <w:rPr>
          <w:rFonts w:hint="eastAsia"/>
        </w:rPr>
        <w:t>3 房屋周边存在的不利影响源和房屋使用过程中遇到的相邻地下工程的施工、对房屋可能造成损害的特殊用途、各类灾害事故等特殊情况。</w:t>
      </w:r>
    </w:p>
    <w:p>
      <w:pPr>
        <w:pStyle w:val="74"/>
      </w:pPr>
      <w:r>
        <w:rPr>
          <w:rFonts w:hint="eastAsia"/>
        </w:rPr>
        <w:t>4调查与检测结果、分析及评定过程；</w:t>
      </w:r>
    </w:p>
    <w:p>
      <w:pPr>
        <w:pStyle w:val="74"/>
      </w:pPr>
      <w:r>
        <w:rPr>
          <w:rFonts w:hint="eastAsia"/>
        </w:rPr>
        <w:t>5评定结论及建议；</w:t>
      </w:r>
    </w:p>
    <w:p>
      <w:pPr>
        <w:pStyle w:val="74"/>
      </w:pPr>
      <w:r>
        <w:rPr>
          <w:rFonts w:hint="eastAsia"/>
        </w:rPr>
        <w:t>6相关附件。</w:t>
      </w:r>
    </w:p>
    <w:p>
      <w:pPr>
        <w:pStyle w:val="4"/>
        <w:numPr>
          <w:ilvl w:val="0"/>
          <w:numId w:val="0"/>
        </w:numPr>
      </w:pPr>
      <w:r>
        <w:t xml:space="preserve">6.0.2 </w:t>
      </w:r>
      <w:r>
        <w:rPr>
          <w:rFonts w:hint="eastAsia"/>
        </w:rPr>
        <w:t>评定报告中，应对各分项中</w:t>
      </w:r>
      <w:r>
        <w:rPr>
          <w:rFonts w:hint="eastAsia"/>
          <w:kern w:val="0"/>
          <w:lang w:val="zh-CN"/>
        </w:rPr>
        <w:t>③</w:t>
      </w:r>
      <w:r>
        <w:rPr>
          <w:rFonts w:hint="eastAsia"/>
        </w:rPr>
        <w:t>、</w:t>
      </w:r>
      <w:r>
        <w:rPr>
          <w:rFonts w:hint="eastAsia"/>
          <w:kern w:val="0"/>
          <w:lang w:val="zh-CN"/>
        </w:rPr>
        <w:t>④</w:t>
      </w:r>
      <w:r>
        <w:rPr>
          <w:rFonts w:hint="eastAsia"/>
        </w:rPr>
        <w:t>级子项的损坏部位、类型及程度等作出说明。</w:t>
      </w:r>
    </w:p>
    <w:p>
      <w:pPr>
        <w:pStyle w:val="4"/>
        <w:numPr>
          <w:ilvl w:val="0"/>
          <w:numId w:val="0"/>
        </w:numPr>
      </w:pPr>
      <w:r>
        <w:t xml:space="preserve">6.0.3 </w:t>
      </w:r>
      <w:r>
        <w:rPr>
          <w:rFonts w:hint="eastAsia"/>
        </w:rPr>
        <w:t>当房屋完损等级评定过程中发现房屋存在安全隐患时，应在评定报告中进行明确，并应提出进一步检测鉴定的建议。</w:t>
      </w:r>
    </w:p>
    <w:p>
      <w:pPr>
        <w:pStyle w:val="4"/>
        <w:numPr>
          <w:ilvl w:val="0"/>
          <w:numId w:val="0"/>
        </w:numPr>
      </w:pPr>
      <w:r>
        <w:t>6.0.4</w:t>
      </w:r>
      <w:r>
        <w:rPr>
          <w:rFonts w:hint="eastAsia"/>
        </w:rPr>
        <w:t>根据房屋具体损坏部位、类型及程度，应结合房屋适修性提出合理建议。</w:t>
      </w:r>
    </w:p>
    <w:p>
      <w:pPr>
        <w:rPr>
          <w:rFonts w:ascii="宋体"/>
          <w:lang w:val="zh-CN"/>
        </w:rPr>
      </w:pPr>
    </w:p>
    <w:p>
      <w:pPr>
        <w:rPr>
          <w:rFonts w:ascii="宋体"/>
          <w:lang w:val="zh-CN"/>
        </w:rPr>
        <w:sectPr>
          <w:pgSz w:w="11906" w:h="16838"/>
          <w:pgMar w:top="1440" w:right="1800" w:bottom="1440" w:left="1800" w:header="851" w:footer="992" w:gutter="0"/>
          <w:cols w:space="425" w:num="1"/>
          <w:docGrid w:type="lines" w:linePitch="312" w:charSpace="0"/>
        </w:sectPr>
      </w:pPr>
    </w:p>
    <w:p>
      <w:pPr>
        <w:spacing w:before="156" w:beforeLines="50" w:after="156" w:afterLines="50" w:line="360" w:lineRule="auto"/>
        <w:jc w:val="center"/>
        <w:outlineLvl w:val="0"/>
        <w:rPr>
          <w:rFonts w:asciiTheme="minorEastAsia" w:hAnsiTheme="minorEastAsia" w:eastAsiaTheme="minorEastAsia"/>
          <w:b/>
          <w:sz w:val="30"/>
          <w:szCs w:val="30"/>
        </w:rPr>
      </w:pPr>
      <w:bookmarkStart w:id="140" w:name="_Toc36906688"/>
      <w:bookmarkStart w:id="141" w:name="_Toc42149883"/>
      <w:bookmarkStart w:id="142" w:name="_Toc522700920"/>
      <w:bookmarkStart w:id="143" w:name="_Toc36905719"/>
      <w:bookmarkStart w:id="144" w:name="_Toc516491757"/>
      <w:bookmarkStart w:id="145" w:name="_Toc522700739"/>
      <w:bookmarkStart w:id="146" w:name="_Toc42149921"/>
      <w:r>
        <w:rPr>
          <w:rFonts w:asciiTheme="minorEastAsia" w:hAnsiTheme="minorEastAsia" w:eastAsiaTheme="minorEastAsia"/>
          <w:b/>
          <w:sz w:val="30"/>
          <w:szCs w:val="30"/>
        </w:rPr>
        <w:t>本标准用词说明</w:t>
      </w:r>
      <w:bookmarkEnd w:id="140"/>
      <w:bookmarkEnd w:id="141"/>
      <w:bookmarkEnd w:id="142"/>
      <w:bookmarkEnd w:id="143"/>
      <w:bookmarkEnd w:id="144"/>
      <w:bookmarkEnd w:id="145"/>
      <w:bookmarkEnd w:id="146"/>
    </w:p>
    <w:p>
      <w:pPr>
        <w:rPr>
          <w:rFonts w:ascii="仿宋" w:hAnsi="仿宋" w:eastAsia="仿宋"/>
          <w:sz w:val="30"/>
          <w:szCs w:val="30"/>
        </w:rPr>
      </w:pPr>
    </w:p>
    <w:p>
      <w:pPr>
        <w:spacing w:line="360" w:lineRule="auto"/>
        <w:ind w:firstLine="470" w:firstLineChars="196"/>
        <w:rPr>
          <w:sz w:val="24"/>
        </w:rPr>
      </w:pPr>
      <w:r>
        <w:rPr>
          <w:sz w:val="24"/>
        </w:rPr>
        <w:t xml:space="preserve">1 </w:t>
      </w:r>
      <w:r>
        <w:rPr>
          <w:rFonts w:hAnsi="宋体"/>
          <w:sz w:val="24"/>
        </w:rPr>
        <w:t>为便于在执行本标准条文时区别对待，对要求严格程度不同的用词说明如下：</w:t>
      </w:r>
    </w:p>
    <w:p>
      <w:pPr>
        <w:spacing w:line="360" w:lineRule="auto"/>
        <w:ind w:firstLine="960" w:firstLineChars="400"/>
        <w:rPr>
          <w:rFonts w:ascii="宋体" w:hAnsi="宋体"/>
          <w:sz w:val="24"/>
        </w:rPr>
      </w:pPr>
      <w:r>
        <w:rPr>
          <w:sz w:val="24"/>
        </w:rPr>
        <w:t>1</w:t>
      </w:r>
      <w:r>
        <w:rPr>
          <w:rFonts w:hAnsi="宋体"/>
          <w:sz w:val="24"/>
        </w:rPr>
        <w:t>）</w:t>
      </w:r>
      <w:r>
        <w:rPr>
          <w:rFonts w:ascii="宋体" w:hAnsi="宋体"/>
          <w:sz w:val="24"/>
        </w:rPr>
        <w:t>表示很严格，非这样做不可的：</w:t>
      </w:r>
    </w:p>
    <w:p>
      <w:pPr>
        <w:spacing w:line="360" w:lineRule="auto"/>
        <w:ind w:firstLine="960" w:firstLineChars="400"/>
        <w:rPr>
          <w:rFonts w:ascii="宋体" w:hAnsi="宋体"/>
          <w:sz w:val="24"/>
        </w:rPr>
      </w:pPr>
      <w:r>
        <w:rPr>
          <w:rFonts w:ascii="宋体" w:hAnsi="宋体"/>
          <w:sz w:val="24"/>
        </w:rPr>
        <w:t>正面词采用“必须”，反面词采用“严禁”；</w:t>
      </w:r>
    </w:p>
    <w:p>
      <w:pPr>
        <w:spacing w:line="360" w:lineRule="auto"/>
        <w:ind w:firstLine="960" w:firstLineChars="400"/>
        <w:rPr>
          <w:rFonts w:ascii="宋体" w:hAnsi="宋体"/>
          <w:sz w:val="24"/>
        </w:rPr>
      </w:pPr>
      <w:r>
        <w:rPr>
          <w:sz w:val="24"/>
        </w:rPr>
        <w:t>2</w:t>
      </w:r>
      <w:r>
        <w:rPr>
          <w:rFonts w:hAnsi="宋体"/>
          <w:sz w:val="24"/>
        </w:rPr>
        <w:t>）</w:t>
      </w:r>
      <w:r>
        <w:rPr>
          <w:rFonts w:ascii="宋体" w:hAnsi="宋体"/>
          <w:sz w:val="24"/>
        </w:rPr>
        <w:t>表示严格，在正常情况均应这样做的：</w:t>
      </w:r>
    </w:p>
    <w:p>
      <w:pPr>
        <w:spacing w:line="360" w:lineRule="auto"/>
        <w:ind w:firstLine="960" w:firstLineChars="400"/>
        <w:rPr>
          <w:rFonts w:ascii="宋体" w:hAnsi="宋体"/>
          <w:sz w:val="24"/>
        </w:rPr>
      </w:pPr>
      <w:r>
        <w:rPr>
          <w:rFonts w:ascii="宋体" w:hAnsi="宋体"/>
          <w:sz w:val="24"/>
        </w:rPr>
        <w:t>正面词采用“应”，反面词采用“不应”或“不得”；</w:t>
      </w:r>
    </w:p>
    <w:p>
      <w:pPr>
        <w:spacing w:line="360" w:lineRule="auto"/>
        <w:ind w:firstLine="960" w:firstLineChars="400"/>
        <w:rPr>
          <w:rFonts w:ascii="宋体" w:hAnsi="宋体"/>
          <w:sz w:val="24"/>
        </w:rPr>
      </w:pPr>
      <w:r>
        <w:rPr>
          <w:sz w:val="24"/>
        </w:rPr>
        <w:t>3</w:t>
      </w:r>
      <w:r>
        <w:rPr>
          <w:rFonts w:hAnsi="宋体"/>
          <w:sz w:val="24"/>
        </w:rPr>
        <w:t>）</w:t>
      </w:r>
      <w:r>
        <w:rPr>
          <w:rFonts w:ascii="宋体" w:hAnsi="宋体"/>
          <w:sz w:val="24"/>
        </w:rPr>
        <w:t>表示允许稍有选择，在条件许可时首先应这样做的：</w:t>
      </w:r>
    </w:p>
    <w:p>
      <w:pPr>
        <w:spacing w:line="360" w:lineRule="auto"/>
        <w:ind w:firstLine="960" w:firstLineChars="400"/>
        <w:rPr>
          <w:rFonts w:ascii="宋体" w:hAnsi="宋体"/>
          <w:sz w:val="24"/>
        </w:rPr>
      </w:pPr>
      <w:r>
        <w:rPr>
          <w:rFonts w:ascii="宋体" w:hAnsi="宋体"/>
          <w:sz w:val="24"/>
        </w:rPr>
        <w:t>正面词采用“宜”，反面词采用“不宜”。</w:t>
      </w:r>
    </w:p>
    <w:p>
      <w:pPr>
        <w:spacing w:line="360" w:lineRule="auto"/>
        <w:ind w:firstLine="960" w:firstLineChars="400"/>
        <w:rPr>
          <w:rFonts w:ascii="宋体" w:hAnsi="宋体"/>
          <w:sz w:val="24"/>
        </w:rPr>
      </w:pPr>
      <w:r>
        <w:rPr>
          <w:sz w:val="24"/>
        </w:rPr>
        <w:t>4</w:t>
      </w:r>
      <w:r>
        <w:rPr>
          <w:rFonts w:hAnsi="宋体"/>
          <w:sz w:val="24"/>
        </w:rPr>
        <w:t>）</w:t>
      </w:r>
      <w:r>
        <w:rPr>
          <w:rFonts w:ascii="宋体" w:hAnsi="宋体"/>
          <w:sz w:val="24"/>
        </w:rPr>
        <w:t>表示有选择，在一定条件下可以这样做的，采用“可”。</w:t>
      </w:r>
    </w:p>
    <w:p>
      <w:pPr>
        <w:spacing w:line="360" w:lineRule="auto"/>
        <w:ind w:firstLine="470" w:firstLineChars="196"/>
        <w:rPr>
          <w:rFonts w:ascii="宋体" w:hAnsi="宋体"/>
          <w:sz w:val="24"/>
        </w:rPr>
      </w:pPr>
      <w:r>
        <w:rPr>
          <w:sz w:val="24"/>
        </w:rPr>
        <w:t xml:space="preserve">2 </w:t>
      </w:r>
      <w:r>
        <w:rPr>
          <w:rFonts w:ascii="宋体" w:hAnsi="宋体"/>
          <w:sz w:val="24"/>
        </w:rPr>
        <w:t>条文中指明应按其他有关标准执行的写法为：“应符合……的规定”或“应按……执行”。</w:t>
      </w:r>
    </w:p>
    <w:p>
      <w:pPr>
        <w:spacing w:line="360" w:lineRule="auto"/>
        <w:ind w:firstLine="470" w:firstLineChars="196"/>
        <w:rPr>
          <w:sz w:val="24"/>
        </w:rPr>
      </w:pPr>
    </w:p>
    <w:p>
      <w:pPr>
        <w:spacing w:line="360" w:lineRule="auto"/>
        <w:ind w:firstLine="588" w:firstLineChars="196"/>
        <w:rPr>
          <w:rFonts w:ascii="仿宋" w:hAnsi="仿宋" w:eastAsia="仿宋"/>
          <w:sz w:val="30"/>
          <w:szCs w:val="30"/>
        </w:rPr>
      </w:pPr>
    </w:p>
    <w:p>
      <w:pPr>
        <w:spacing w:line="360" w:lineRule="auto"/>
        <w:ind w:firstLine="588" w:firstLineChars="196"/>
        <w:rPr>
          <w:rFonts w:ascii="仿宋" w:hAnsi="仿宋" w:eastAsia="仿宋"/>
          <w:sz w:val="30"/>
          <w:szCs w:val="30"/>
        </w:rPr>
      </w:pPr>
    </w:p>
    <w:p>
      <w:pPr>
        <w:spacing w:line="360" w:lineRule="auto"/>
        <w:ind w:firstLine="588" w:firstLineChars="196"/>
        <w:rPr>
          <w:rFonts w:ascii="仿宋" w:hAnsi="仿宋" w:eastAsia="仿宋"/>
          <w:sz w:val="30"/>
          <w:szCs w:val="30"/>
        </w:rPr>
      </w:pPr>
    </w:p>
    <w:p>
      <w:pPr>
        <w:spacing w:line="360" w:lineRule="auto"/>
        <w:rPr>
          <w:rFonts w:ascii="仿宋" w:hAnsi="仿宋" w:eastAsia="仿宋"/>
          <w:sz w:val="30"/>
          <w:szCs w:val="30"/>
        </w:rPr>
      </w:pPr>
    </w:p>
    <w:p>
      <w:pPr>
        <w:spacing w:line="360" w:lineRule="auto"/>
        <w:ind w:firstLine="588" w:firstLineChars="196"/>
        <w:rPr>
          <w:rFonts w:ascii="仿宋" w:hAnsi="仿宋" w:eastAsia="仿宋"/>
          <w:sz w:val="30"/>
          <w:szCs w:val="30"/>
        </w:rPr>
      </w:pPr>
    </w:p>
    <w:p>
      <w:pPr>
        <w:spacing w:before="156" w:beforeLines="50" w:after="156" w:afterLines="50" w:line="360" w:lineRule="auto"/>
        <w:jc w:val="center"/>
        <w:outlineLvl w:val="0"/>
        <w:rPr>
          <w:rFonts w:ascii="仿宋" w:hAnsi="仿宋" w:eastAsia="仿宋"/>
          <w:b/>
          <w:sz w:val="30"/>
          <w:szCs w:val="30"/>
        </w:rPr>
        <w:sectPr>
          <w:pgSz w:w="11906" w:h="16838"/>
          <w:pgMar w:top="1440" w:right="1800" w:bottom="1440" w:left="1800" w:header="851" w:footer="992" w:gutter="0"/>
          <w:cols w:space="425" w:num="1"/>
          <w:docGrid w:type="lines" w:linePitch="312" w:charSpace="0"/>
        </w:sectPr>
      </w:pPr>
    </w:p>
    <w:p>
      <w:pPr>
        <w:widowControl/>
        <w:ind w:firstLine="723"/>
        <w:jc w:val="left"/>
        <w:rPr>
          <w:b/>
          <w:sz w:val="48"/>
          <w:szCs w:val="48"/>
        </w:rPr>
      </w:pPr>
    </w:p>
    <w:p>
      <w:pPr>
        <w:spacing w:line="1000" w:lineRule="exact"/>
        <w:jc w:val="center"/>
        <w:rPr>
          <w:b/>
          <w:sz w:val="36"/>
          <w:szCs w:val="20"/>
        </w:rPr>
      </w:pPr>
      <w:r>
        <w:rPr>
          <w:b/>
          <w:sz w:val="36"/>
          <w:szCs w:val="20"/>
        </w:rPr>
        <w:t>中华人民共和国行业标准</w:t>
      </w:r>
    </w:p>
    <w:p>
      <w:pPr>
        <w:spacing w:line="1000" w:lineRule="exact"/>
        <w:jc w:val="center"/>
        <w:rPr>
          <w:b/>
          <w:sz w:val="36"/>
          <w:szCs w:val="20"/>
        </w:rPr>
      </w:pPr>
    </w:p>
    <w:p>
      <w:pPr>
        <w:spacing w:line="1000" w:lineRule="exact"/>
        <w:jc w:val="center"/>
        <w:rPr>
          <w:b/>
          <w:sz w:val="44"/>
          <w:szCs w:val="44"/>
        </w:rPr>
      </w:pPr>
      <w:r>
        <w:rPr>
          <w:rFonts w:hint="eastAsia"/>
          <w:b/>
          <w:sz w:val="44"/>
          <w:szCs w:val="44"/>
        </w:rPr>
        <w:t>房屋完损等级评定标准</w:t>
      </w:r>
    </w:p>
    <w:p>
      <w:pPr>
        <w:spacing w:line="360" w:lineRule="auto"/>
        <w:jc w:val="center"/>
        <w:rPr>
          <w:b/>
          <w:sz w:val="28"/>
          <w:szCs w:val="28"/>
        </w:rPr>
      </w:pPr>
      <w:r>
        <w:rPr>
          <w:rFonts w:hint="eastAsia"/>
          <w:b/>
          <w:kern w:val="0"/>
          <w:sz w:val="30"/>
          <w:szCs w:val="30"/>
        </w:rPr>
        <w:t>JGJ</w:t>
      </w:r>
      <w:r>
        <w:rPr>
          <w:b/>
          <w:kern w:val="0"/>
          <w:sz w:val="30"/>
          <w:szCs w:val="30"/>
        </w:rPr>
        <w:t>/T</w:t>
      </w:r>
      <w:r>
        <w:rPr>
          <w:b/>
          <w:sz w:val="28"/>
          <w:szCs w:val="28"/>
        </w:rPr>
        <w:t>××</w:t>
      </w:r>
      <w:r>
        <w:rPr>
          <w:rFonts w:hint="eastAsia"/>
          <w:b/>
          <w:kern w:val="0"/>
          <w:sz w:val="30"/>
          <w:szCs w:val="30"/>
        </w:rPr>
        <w:t>-20</w:t>
      </w:r>
      <w:r>
        <w:rPr>
          <w:b/>
          <w:sz w:val="28"/>
          <w:szCs w:val="28"/>
        </w:rPr>
        <w:t>××</w:t>
      </w:r>
    </w:p>
    <w:p>
      <w:pPr>
        <w:spacing w:line="360" w:lineRule="auto"/>
        <w:jc w:val="center"/>
        <w:outlineLvl w:val="0"/>
        <w:rPr>
          <w:b/>
          <w:sz w:val="44"/>
          <w:szCs w:val="44"/>
        </w:rPr>
      </w:pPr>
    </w:p>
    <w:p>
      <w:pPr>
        <w:spacing w:line="1000" w:lineRule="exact"/>
        <w:jc w:val="center"/>
        <w:rPr>
          <w:kern w:val="44"/>
          <w:sz w:val="32"/>
          <w:szCs w:val="22"/>
        </w:rPr>
      </w:pPr>
      <w:bookmarkStart w:id="147" w:name="_Toc144881386"/>
      <w:bookmarkStart w:id="148" w:name="_Toc131777110"/>
      <w:bookmarkStart w:id="149" w:name="_Toc131578435"/>
      <w:bookmarkStart w:id="150" w:name="_Toc144881443"/>
      <w:bookmarkStart w:id="151" w:name="_Toc146334365"/>
      <w:bookmarkStart w:id="152" w:name="_Toc146334942"/>
      <w:bookmarkStart w:id="153" w:name="_Toc212387837"/>
      <w:bookmarkStart w:id="154" w:name="_Toc146335261"/>
      <w:r>
        <w:rPr>
          <w:kern w:val="44"/>
          <w:sz w:val="32"/>
          <w:szCs w:val="22"/>
        </w:rPr>
        <w:t>条文说明</w:t>
      </w:r>
      <w:bookmarkEnd w:id="147"/>
      <w:bookmarkEnd w:id="148"/>
      <w:bookmarkEnd w:id="149"/>
      <w:bookmarkEnd w:id="150"/>
      <w:bookmarkEnd w:id="151"/>
      <w:bookmarkEnd w:id="152"/>
      <w:bookmarkEnd w:id="153"/>
      <w:bookmarkEnd w:id="154"/>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napToGrid w:val="0"/>
        <w:spacing w:line="360" w:lineRule="auto"/>
        <w:jc w:val="center"/>
        <w:rPr>
          <w:sz w:val="32"/>
          <w:szCs w:val="32"/>
        </w:rPr>
      </w:pPr>
      <w:r>
        <w:rPr>
          <w:rFonts w:hint="eastAsia"/>
          <w:b/>
          <w:sz w:val="30"/>
          <w:szCs w:val="30"/>
        </w:rPr>
        <w:t>目次</w:t>
      </w:r>
      <w:r>
        <w:rPr>
          <w:rFonts w:cs="宋体"/>
          <w:b/>
          <w:sz w:val="32"/>
          <w:szCs w:val="32"/>
        </w:rPr>
        <w:fldChar w:fldCharType="begin"/>
      </w:r>
      <w:r>
        <w:rPr>
          <w:b/>
          <w:sz w:val="32"/>
          <w:szCs w:val="32"/>
        </w:rPr>
        <w:instrText xml:space="preserve"> TOC \o "1-2" \h \z \u </w:instrText>
      </w:r>
      <w:r>
        <w:rPr>
          <w:rFonts w:cs="宋体"/>
          <w:b/>
          <w:sz w:val="32"/>
          <w:szCs w:val="32"/>
        </w:rPr>
        <w:fldChar w:fldCharType="separate"/>
      </w:r>
    </w:p>
    <w:p>
      <w:pPr>
        <w:pStyle w:val="25"/>
        <w:tabs>
          <w:tab w:val="left" w:pos="420"/>
          <w:tab w:val="right" w:leader="dot" w:pos="8777"/>
        </w:tabs>
        <w:rPr>
          <w:rFonts w:ascii="Times New Roman" w:hAnsi="Times New Roman" w:cs="Times New Roman" w:eastAsiaTheme="minorEastAsia"/>
          <w:b w:val="0"/>
          <w:bCs w:val="0"/>
          <w:caps w:val="0"/>
          <w:sz w:val="24"/>
          <w:szCs w:val="24"/>
        </w:rPr>
      </w:pPr>
      <w:r>
        <w:rPr>
          <w:b w:val="0"/>
          <w:sz w:val="32"/>
          <w:szCs w:val="32"/>
        </w:rPr>
        <w:fldChar w:fldCharType="end"/>
      </w:r>
      <w:r>
        <w:fldChar w:fldCharType="begin"/>
      </w:r>
      <w:r>
        <w:instrText xml:space="preserve"> HYPERLINK \l "_Toc36905722" </w:instrText>
      </w:r>
      <w:r>
        <w:fldChar w:fldCharType="separate"/>
      </w:r>
      <w:r>
        <w:rPr>
          <w:rStyle w:val="41"/>
          <w:rFonts w:ascii="Times New Roman" w:hAnsi="Times New Roman"/>
          <w:b w:val="0"/>
          <w:color w:val="auto"/>
          <w:sz w:val="24"/>
          <w:szCs w:val="24"/>
          <w:u w:val="none"/>
          <w:lang w:val="zh-CN"/>
        </w:rPr>
        <w:t>1</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总则</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_Toc36905722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23</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"_Toc36905723" </w:instrText>
      </w:r>
      <w:r>
        <w:fldChar w:fldCharType="separate"/>
      </w:r>
      <w:r>
        <w:rPr>
          <w:rStyle w:val="41"/>
          <w:rFonts w:ascii="Times New Roman" w:hAnsi="Times New Roman"/>
          <w:b w:val="0"/>
          <w:color w:val="auto"/>
          <w:sz w:val="24"/>
          <w:szCs w:val="24"/>
          <w:u w:val="none"/>
          <w:lang w:val="zh-CN"/>
        </w:rPr>
        <w:t>3</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基本规定</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_Toc36905723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24</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"_Toc36905726" </w:instrText>
      </w:r>
      <w:r>
        <w:fldChar w:fldCharType="separate"/>
      </w:r>
      <w:r>
        <w:rPr>
          <w:rStyle w:val="41"/>
          <w:rFonts w:ascii="Times New Roman" w:hAnsi="Times New Roman"/>
          <w:b w:val="0"/>
          <w:color w:val="auto"/>
          <w:sz w:val="24"/>
          <w:szCs w:val="24"/>
          <w:u w:val="none"/>
          <w:lang w:val="zh-CN"/>
        </w:rPr>
        <w:t>4</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子项完损等级评定</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_Toc36905726 \h </w:instrText>
      </w:r>
      <w:r>
        <w:rPr>
          <w:rFonts w:ascii="Times New Roman" w:hAnsi="Times New Roman" w:cs="Times New Roman"/>
          <w:b w:val="0"/>
          <w:sz w:val="24"/>
          <w:szCs w:val="24"/>
        </w:rPr>
        <w:fldChar w:fldCharType="separate"/>
      </w:r>
      <w:r>
        <w:rPr>
          <w:rFonts w:ascii="Times New Roman" w:hAnsi="Times New Roman" w:cs="Times New Roman"/>
          <w:b w:val="0"/>
          <w:sz w:val="24"/>
          <w:szCs w:val="24"/>
        </w:rPr>
        <w:t>25</w:t>
      </w:r>
      <w:r>
        <w:rPr>
          <w:rFonts w:ascii="Times New Roman" w:hAnsi="Times New Roman" w:cs="Times New Roman"/>
          <w:b w:val="0"/>
          <w:sz w:val="24"/>
          <w:szCs w:val="24"/>
        </w:rPr>
        <w:fldChar w:fldCharType="end"/>
      </w:r>
      <w:r>
        <w:rPr>
          <w:rFonts w:ascii="Times New Roman" w:hAnsi="Times New Roman" w:cs="Times New Roman"/>
          <w:b w:val="0"/>
          <w:sz w:val="24"/>
          <w:szCs w:val="24"/>
        </w:rPr>
        <w:fldChar w:fldCharType="end"/>
      </w:r>
    </w:p>
    <w:p>
      <w:pPr>
        <w:pStyle w:val="30"/>
        <w:rPr>
          <w:rFonts w:ascii="Times New Roman" w:hAnsi="Times New Roman" w:cs="Times New Roman" w:eastAsiaTheme="minorEastAsia"/>
          <w:smallCaps w:val="0"/>
          <w:sz w:val="24"/>
          <w:szCs w:val="24"/>
        </w:rPr>
      </w:pPr>
      <w:r>
        <w:fldChar w:fldCharType="begin"/>
      </w:r>
      <w:r>
        <w:instrText xml:space="preserve"> HYPERLINK \l "_Toc36905727" </w:instrText>
      </w:r>
      <w:r>
        <w:fldChar w:fldCharType="separate"/>
      </w:r>
      <w:r>
        <w:rPr>
          <w:rStyle w:val="41"/>
          <w:rFonts w:ascii="Times New Roman" w:hAnsi="Times New Roman"/>
          <w:color w:val="auto"/>
          <w:sz w:val="24"/>
          <w:szCs w:val="24"/>
          <w:u w:val="none"/>
        </w:rPr>
        <w:t>4.1</w:t>
      </w:r>
      <w:r>
        <w:rPr>
          <w:rFonts w:ascii="Times New Roman" w:hAnsi="Times New Roman" w:cs="Times New Roman" w:eastAsiaTheme="minorEastAsia"/>
          <w:smallCaps w:val="0"/>
          <w:sz w:val="24"/>
          <w:szCs w:val="24"/>
        </w:rPr>
        <w:tab/>
      </w:r>
      <w:r>
        <w:rPr>
          <w:rStyle w:val="41"/>
          <w:rFonts w:ascii="Times New Roman" w:hAnsi="Times New Roman"/>
          <w:color w:val="auto"/>
          <w:sz w:val="24"/>
          <w:szCs w:val="24"/>
          <w:u w:val="none"/>
        </w:rPr>
        <w:t>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_Toc36905727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"_Toc36905727" </w:instrText>
      </w:r>
      <w:r>
        <w:fldChar w:fldCharType="separate"/>
      </w:r>
      <w:r>
        <w:rPr>
          <w:rStyle w:val="41"/>
          <w:rFonts w:ascii="Times New Roman" w:hAnsi="Times New Roman"/>
          <w:color w:val="auto"/>
          <w:sz w:val="24"/>
          <w:szCs w:val="24"/>
          <w:u w:val="none"/>
        </w:rPr>
        <w:t>4.2</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屋面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_Toc36905727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"_Toc36905728" </w:instrText>
      </w:r>
      <w:r>
        <w:fldChar w:fldCharType="separate"/>
      </w:r>
      <w:r>
        <w:rPr>
          <w:rStyle w:val="41"/>
          <w:rFonts w:ascii="Times New Roman" w:hAnsi="Times New Roman"/>
          <w:color w:val="auto"/>
          <w:sz w:val="24"/>
          <w:szCs w:val="24"/>
          <w:u w:val="none"/>
        </w:rPr>
        <w:t>4.3</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外立面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_Toc36905728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"_Toc36905729" </w:instrText>
      </w:r>
      <w:r>
        <w:fldChar w:fldCharType="separate"/>
      </w:r>
      <w:r>
        <w:rPr>
          <w:rStyle w:val="41"/>
          <w:rFonts w:ascii="Times New Roman" w:hAnsi="Times New Roman"/>
          <w:color w:val="auto"/>
          <w:sz w:val="24"/>
          <w:szCs w:val="24"/>
          <w:u w:val="none"/>
        </w:rPr>
        <w:t>4.4</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室内建筑装饰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_Toc36905729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"_Toc36905730" </w:instrText>
      </w:r>
      <w:r>
        <w:fldChar w:fldCharType="separate"/>
      </w:r>
      <w:r>
        <w:rPr>
          <w:rStyle w:val="41"/>
          <w:rFonts w:ascii="Times New Roman" w:hAnsi="Times New Roman"/>
          <w:color w:val="auto"/>
          <w:sz w:val="24"/>
          <w:szCs w:val="24"/>
          <w:u w:val="none"/>
        </w:rPr>
        <w:t>4.5</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门窗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_Toc36905730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"_Toc36905731" </w:instrText>
      </w:r>
      <w:r>
        <w:fldChar w:fldCharType="separate"/>
      </w:r>
      <w:r>
        <w:rPr>
          <w:rStyle w:val="41"/>
          <w:rFonts w:ascii="Times New Roman" w:hAnsi="Times New Roman"/>
          <w:color w:val="auto"/>
          <w:sz w:val="24"/>
          <w:szCs w:val="24"/>
          <w:u w:val="none"/>
          <w:lang w:val="zh-CN"/>
        </w:rPr>
        <w:t>4.7</w:t>
      </w:r>
      <w:r>
        <w:rPr>
          <w:rFonts w:ascii="Times New Roman" w:hAnsi="Times New Roman" w:cs="Times New Roman" w:eastAsiaTheme="minorEastAsia"/>
          <w:sz w:val="24"/>
          <w:szCs w:val="24"/>
        </w:rPr>
        <w:tab/>
      </w:r>
      <w:r>
        <w:rPr>
          <w:rStyle w:val="41"/>
          <w:rFonts w:ascii="Times New Roman" w:hAnsi="Times New Roman"/>
          <w:color w:val="auto"/>
          <w:sz w:val="24"/>
          <w:szCs w:val="24"/>
          <w:u w:val="none"/>
          <w:lang w:val="zh-CN"/>
        </w:rPr>
        <w:t>地基基础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_Toc36905731 \h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"_Toc36905732" </w:instrText>
      </w:r>
      <w:r>
        <w:fldChar w:fldCharType="separate"/>
      </w:r>
      <w:r>
        <w:rPr>
          <w:rStyle w:val="41"/>
          <w:rFonts w:ascii="Times New Roman" w:hAnsi="Times New Roman"/>
          <w:color w:val="auto"/>
          <w:sz w:val="24"/>
          <w:szCs w:val="24"/>
          <w:u w:val="none"/>
          <w:lang w:val="zh-CN"/>
        </w:rPr>
        <w:t>4.9</w:t>
      </w:r>
      <w:r>
        <w:rPr>
          <w:rFonts w:ascii="Times New Roman" w:hAnsi="Times New Roman" w:cs="Times New Roman" w:eastAsiaTheme="minorEastAsia"/>
          <w:sz w:val="24"/>
          <w:szCs w:val="24"/>
        </w:rPr>
        <w:tab/>
      </w:r>
      <w:r>
        <w:rPr>
          <w:rStyle w:val="41"/>
          <w:rFonts w:ascii="Times New Roman" w:hAnsi="Times New Roman"/>
          <w:color w:val="auto"/>
          <w:sz w:val="24"/>
          <w:szCs w:val="24"/>
          <w:u w:val="none"/>
          <w:lang w:val="zh-CN"/>
        </w:rPr>
        <w:t>给排水设施设备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_Toc36905732 \h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"_Toc36905733" </w:instrText>
      </w:r>
      <w:r>
        <w:fldChar w:fldCharType="separate"/>
      </w:r>
      <w:r>
        <w:rPr>
          <w:rStyle w:val="41"/>
          <w:rFonts w:ascii="Times New Roman" w:hAnsi="Times New Roman"/>
          <w:b w:val="0"/>
          <w:color w:val="auto"/>
          <w:sz w:val="24"/>
          <w:szCs w:val="24"/>
          <w:u w:val="none"/>
          <w:lang w:val="zh-CN"/>
        </w:rPr>
        <w:t>5</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分项及评定单元完损等级评定</w:t>
      </w:r>
      <w:r>
        <w:rPr>
          <w:rFonts w:ascii="Times New Roman" w:hAnsi="Times New Roman" w:cs="Times New Roman"/>
          <w:b w:val="0"/>
          <w:sz w:val="24"/>
          <w:szCs w:val="24"/>
        </w:rPr>
        <w:tab/>
      </w:r>
      <w:r>
        <w:rPr>
          <w:rFonts w:ascii="Times New Roman" w:hAnsi="Times New Roman" w:cs="Times New Roman"/>
          <w:b w:val="0"/>
          <w:sz w:val="24"/>
          <w:szCs w:val="24"/>
        </w:rPr>
        <w:t>28</w:t>
      </w:r>
      <w:r>
        <w:rPr>
          <w:rFonts w:ascii="Times New Roman" w:hAnsi="Times New Roman" w:cs="Times New Roman"/>
          <w:b w:val="0"/>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"_Toc36905734" </w:instrText>
      </w:r>
      <w:r>
        <w:fldChar w:fldCharType="separate"/>
      </w:r>
      <w:r>
        <w:rPr>
          <w:rStyle w:val="41"/>
          <w:rFonts w:ascii="Times New Roman" w:hAnsi="Times New Roman"/>
          <w:color w:val="auto"/>
          <w:sz w:val="24"/>
          <w:szCs w:val="24"/>
          <w:u w:val="none"/>
        </w:rPr>
        <w:t>5.1</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分项</w:t>
      </w:r>
      <w:r>
        <w:rPr>
          <w:rFonts w:ascii="Times New Roman" w:hAnsi="Times New Roman" w:cs="Times New Roman"/>
          <w:sz w:val="24"/>
          <w:szCs w:val="24"/>
        </w:rPr>
        <w:tab/>
      </w:r>
      <w:r>
        <w:rPr>
          <w:rFonts w:ascii="Times New Roman" w:hAnsi="Times New Roman" w:cs="Times New Roman"/>
          <w:sz w:val="24"/>
          <w:szCs w:val="24"/>
        </w:rPr>
        <w:t>28</w:t>
      </w:r>
      <w:r>
        <w:rPr>
          <w:rFonts w:ascii="Times New Roman" w:hAnsi="Times New Roman" w:cs="Times New Roman"/>
          <w:sz w:val="24"/>
          <w:szCs w:val="24"/>
        </w:rPr>
        <w:fldChar w:fldCharType="end"/>
      </w:r>
    </w:p>
    <w:p>
      <w:pPr>
        <w:pStyle w:val="30"/>
        <w:rPr>
          <w:rFonts w:ascii="Times New Roman" w:hAnsi="Times New Roman" w:cs="Times New Roman" w:eastAsiaTheme="minorEastAsia"/>
          <w:sz w:val="24"/>
          <w:szCs w:val="24"/>
        </w:rPr>
      </w:pPr>
      <w:r>
        <w:fldChar w:fldCharType="begin"/>
      </w:r>
      <w:r>
        <w:instrText xml:space="preserve"> HYPERLINK \l "_Toc36905735" </w:instrText>
      </w:r>
      <w:r>
        <w:fldChar w:fldCharType="separate"/>
      </w:r>
      <w:r>
        <w:rPr>
          <w:rStyle w:val="41"/>
          <w:rFonts w:ascii="Times New Roman" w:hAnsi="Times New Roman"/>
          <w:color w:val="auto"/>
          <w:sz w:val="24"/>
          <w:szCs w:val="24"/>
          <w:u w:val="none"/>
        </w:rPr>
        <w:t>5.2</w:t>
      </w:r>
      <w:r>
        <w:rPr>
          <w:rFonts w:ascii="Times New Roman" w:hAnsi="Times New Roman" w:cs="Times New Roman" w:eastAsiaTheme="minorEastAsia"/>
          <w:sz w:val="24"/>
          <w:szCs w:val="24"/>
        </w:rPr>
        <w:tab/>
      </w:r>
      <w:r>
        <w:rPr>
          <w:rStyle w:val="41"/>
          <w:rFonts w:ascii="Times New Roman" w:hAnsi="Times New Roman"/>
          <w:color w:val="auto"/>
          <w:sz w:val="24"/>
          <w:szCs w:val="24"/>
          <w:u w:val="none"/>
        </w:rPr>
        <w:t>评定单元</w:t>
      </w:r>
      <w:r>
        <w:rPr>
          <w:rFonts w:ascii="Times New Roman" w:hAnsi="Times New Roman" w:cs="Times New Roman"/>
          <w:sz w:val="24"/>
          <w:szCs w:val="24"/>
        </w:rPr>
        <w:tab/>
      </w:r>
      <w:r>
        <w:rPr>
          <w:rFonts w:ascii="Times New Roman" w:hAnsi="Times New Roman" w:cs="Times New Roman"/>
          <w:sz w:val="24"/>
          <w:szCs w:val="24"/>
        </w:rPr>
        <w:t>28</w:t>
      </w:r>
      <w:r>
        <w:rPr>
          <w:rFonts w:ascii="Times New Roman" w:hAnsi="Times New Roman" w:cs="Times New Roman"/>
          <w:sz w:val="24"/>
          <w:szCs w:val="24"/>
        </w:rPr>
        <w:fldChar w:fldCharType="end"/>
      </w:r>
    </w:p>
    <w:p>
      <w:pPr>
        <w:pStyle w:val="25"/>
        <w:tabs>
          <w:tab w:val="left" w:pos="420"/>
          <w:tab w:val="right" w:leader="dot" w:pos="8777"/>
        </w:tabs>
        <w:rPr>
          <w:rFonts w:ascii="Times New Roman" w:hAnsi="Times New Roman" w:cs="Times New Roman" w:eastAsiaTheme="minorEastAsia"/>
          <w:b w:val="0"/>
          <w:bCs w:val="0"/>
          <w:caps w:val="0"/>
          <w:sz w:val="24"/>
          <w:szCs w:val="24"/>
        </w:rPr>
      </w:pPr>
      <w:r>
        <w:fldChar w:fldCharType="begin"/>
      </w:r>
      <w:r>
        <w:instrText xml:space="preserve"> HYPERLINK \l "_Toc36905736" </w:instrText>
      </w:r>
      <w:r>
        <w:fldChar w:fldCharType="separate"/>
      </w:r>
      <w:r>
        <w:rPr>
          <w:rStyle w:val="41"/>
          <w:rFonts w:ascii="Times New Roman" w:hAnsi="Times New Roman"/>
          <w:b w:val="0"/>
          <w:color w:val="auto"/>
          <w:sz w:val="24"/>
          <w:szCs w:val="24"/>
          <w:u w:val="none"/>
          <w:lang w:val="zh-CN"/>
        </w:rPr>
        <w:t>6</w:t>
      </w:r>
      <w:r>
        <w:rPr>
          <w:rFonts w:ascii="Times New Roman" w:hAnsi="Times New Roman" w:cs="Times New Roman" w:eastAsiaTheme="minorEastAsia"/>
          <w:b w:val="0"/>
          <w:bCs w:val="0"/>
          <w:caps w:val="0"/>
          <w:sz w:val="24"/>
          <w:szCs w:val="24"/>
        </w:rPr>
        <w:tab/>
      </w:r>
      <w:r>
        <w:rPr>
          <w:rStyle w:val="41"/>
          <w:rFonts w:ascii="Times New Roman" w:hAnsi="Times New Roman"/>
          <w:b w:val="0"/>
          <w:color w:val="auto"/>
          <w:sz w:val="24"/>
          <w:szCs w:val="24"/>
          <w:u w:val="none"/>
          <w:lang w:val="zh-CN"/>
        </w:rPr>
        <w:t>评定报告</w:t>
      </w:r>
      <w:r>
        <w:rPr>
          <w:rFonts w:ascii="Times New Roman" w:hAnsi="Times New Roman" w:cs="Times New Roman"/>
          <w:b w:val="0"/>
          <w:sz w:val="24"/>
          <w:szCs w:val="24"/>
        </w:rPr>
        <w:tab/>
      </w:r>
      <w:r>
        <w:rPr>
          <w:rFonts w:ascii="Times New Roman" w:hAnsi="Times New Roman" w:cs="Times New Roman"/>
          <w:b w:val="0"/>
          <w:sz w:val="24"/>
          <w:szCs w:val="24"/>
        </w:rPr>
        <w:t>29</w:t>
      </w:r>
      <w:r>
        <w:rPr>
          <w:rFonts w:ascii="Times New Roman" w:hAnsi="Times New Roman" w:cs="Times New Roman"/>
          <w:b w:val="0"/>
          <w:sz w:val="24"/>
          <w:szCs w:val="24"/>
        </w:rPr>
        <w:fldChar w:fldCharType="end"/>
      </w:r>
    </w:p>
    <w:p>
      <w:pPr>
        <w:pStyle w:val="25"/>
        <w:tabs>
          <w:tab w:val="right" w:leader="dot" w:pos="8777"/>
        </w:tabs>
        <w:rPr>
          <w:b w:val="0"/>
          <w:sz w:val="28"/>
        </w:rPr>
        <w:sectPr>
          <w:pgSz w:w="11906" w:h="16838"/>
          <w:pgMar w:top="1134" w:right="1418" w:bottom="1134" w:left="1701" w:header="851" w:footer="992" w:gutter="0"/>
          <w:cols w:space="425" w:num="1"/>
          <w:docGrid w:type="lines" w:linePitch="312" w:charSpace="0"/>
        </w:sectPr>
      </w:pPr>
    </w:p>
    <w:p>
      <w:pPr>
        <w:pStyle w:val="2"/>
        <w:numPr>
          <w:ilvl w:val="0"/>
          <w:numId w:val="3"/>
        </w:numPr>
        <w:rPr>
          <w:rFonts w:asciiTheme="minorEastAsia" w:hAnsiTheme="minorEastAsia" w:eastAsiaTheme="minorEastAsia"/>
          <w:sz w:val="30"/>
          <w:szCs w:val="30"/>
          <w:lang w:val="zh-CN"/>
        </w:rPr>
      </w:pPr>
      <w:bookmarkStart w:id="155" w:name="_Toc36905722"/>
      <w:bookmarkStart w:id="156" w:name="_Toc36906690"/>
      <w:bookmarkStart w:id="157" w:name="_Toc36906025"/>
      <w:bookmarkStart w:id="158" w:name="_Toc42149924"/>
      <w:bookmarkStart w:id="159" w:name="_Toc42149886"/>
      <w:r>
        <w:rPr>
          <w:rFonts w:hint="eastAsia" w:asciiTheme="minorEastAsia" w:hAnsiTheme="minorEastAsia" w:eastAsiaTheme="minorEastAsia"/>
          <w:sz w:val="30"/>
          <w:szCs w:val="30"/>
          <w:lang w:val="zh-CN"/>
        </w:rPr>
        <w:t>总则</w:t>
      </w:r>
      <w:bookmarkEnd w:id="155"/>
      <w:bookmarkEnd w:id="156"/>
      <w:bookmarkEnd w:id="157"/>
      <w:bookmarkEnd w:id="158"/>
      <w:bookmarkEnd w:id="159"/>
    </w:p>
    <w:p>
      <w:pPr>
        <w:pStyle w:val="4"/>
        <w:numPr>
          <w:ilvl w:val="0"/>
          <w:numId w:val="0"/>
        </w:numPr>
      </w:pPr>
      <w:r>
        <w:rPr>
          <w:kern w:val="0"/>
          <w:lang w:val="zh-CN"/>
        </w:rPr>
        <w:t>1.0.1</w:t>
      </w:r>
      <w:r>
        <w:rPr>
          <w:rFonts w:hint="eastAsia"/>
        </w:rPr>
        <w:t>《房屋完损等级评定标准（试行）》于1985年颁布试行，至今已达35年，在房屋维修管理、房屋安全影响界定等方面发挥了重要作用。在此期间，我国房屋建造规模大，房屋类型更加多样，且近年来房屋安全事故、影响处置纠纷等相关问题频出，社会各界对房屋完损状况更加关注，对评定标准提出了更高的要求。为了适应新时期既有房屋质量检测的发展和需要，准确评定各类房屋的房屋完损等级，</w:t>
      </w:r>
      <w:r>
        <w:rPr>
          <w:rFonts w:hint="eastAsia"/>
          <w:bCs w:val="0"/>
        </w:rPr>
        <w:t>为更</w:t>
      </w:r>
      <w:r>
        <w:rPr>
          <w:rFonts w:hint="eastAsia"/>
        </w:rPr>
        <w:t>科学地制定</w:t>
      </w:r>
      <w:r>
        <w:rPr>
          <w:rFonts w:hint="eastAsia"/>
          <w:bCs w:val="0"/>
        </w:rPr>
        <w:t>房屋</w:t>
      </w:r>
      <w:r>
        <w:rPr>
          <w:rFonts w:hint="eastAsia"/>
        </w:rPr>
        <w:t>修缮改造计划、解决房屋安全影响纠纷及保障房屋使用安全等提供技术支撑，在总结多年来工程实践经验和科研成果的基础上，</w:t>
      </w:r>
      <w:r>
        <w:rPr>
          <w:rFonts w:hint="eastAsia"/>
          <w:bCs w:val="0"/>
        </w:rPr>
        <w:t>制订本标准。</w:t>
      </w:r>
    </w:p>
    <w:p>
      <w:pPr>
        <w:pStyle w:val="4"/>
        <w:numPr>
          <w:ilvl w:val="0"/>
          <w:numId w:val="0"/>
        </w:numPr>
      </w:pPr>
      <w:r>
        <w:rPr>
          <w:kern w:val="0"/>
          <w:lang w:val="zh-CN"/>
        </w:rPr>
        <w:t>1.0.2</w:t>
      </w:r>
      <w:r>
        <w:rPr>
          <w:rFonts w:hint="eastAsia"/>
        </w:rPr>
        <w:t>原试行标准规定“本标准适用于房地产管理部门经营的房屋。对单位自管房</w:t>
      </w:r>
      <w:r>
        <w:t>(</w:t>
      </w:r>
      <w:r>
        <w:rPr>
          <w:rFonts w:hint="eastAsia"/>
        </w:rPr>
        <w:t>不包括工业建筑</w:t>
      </w:r>
      <w:r>
        <w:t>)</w:t>
      </w:r>
      <w:r>
        <w:rPr>
          <w:rFonts w:hint="eastAsia"/>
        </w:rPr>
        <w:t>或私房进行鉴定、管理时，其完损等级的评定，也可适用本标准”，同时规定“在评定古典建筑的完损等级时，本标准可作参考”。在当前房屋产权多元化的现状下，标准适用范围按房屋产权或经营管理权限进行划分不尽合理。本次修订将标准适用范围扩大为现存的既有民用建筑，包含居住类房屋和非居住类房屋，但对于有保护要求的建筑以及行业有特殊要求的建筑，应结合专门的规定进行评定。另外，</w:t>
      </w:r>
      <w:r>
        <w:rPr>
          <w:rFonts w:hint="eastAsia"/>
          <w:szCs w:val="30"/>
        </w:rPr>
        <w:t>本</w:t>
      </w:r>
      <w:r>
        <w:rPr>
          <w:szCs w:val="30"/>
        </w:rPr>
        <w:t>标准</w:t>
      </w:r>
      <w:r>
        <w:rPr>
          <w:rFonts w:hint="eastAsia"/>
          <w:szCs w:val="30"/>
        </w:rPr>
        <w:t>所述的房屋完损等级评定主要评定房屋表观的完好损坏状况和对房屋使用功能的影响程度，</w:t>
      </w:r>
      <w:r>
        <w:rPr>
          <w:rFonts w:hint="eastAsia"/>
        </w:rPr>
        <w:t>评定结果不能直接用于评价房屋安全状态，</w:t>
      </w:r>
      <w:r>
        <w:rPr>
          <w:rFonts w:hint="eastAsia"/>
          <w:szCs w:val="30"/>
        </w:rPr>
        <w:t>当涉及房屋结构安全性评定时，应按照《危险房屋鉴定标准》、《民用建筑可靠性鉴定标准》、《工业建筑可靠性鉴定标准》等相关专业技术标准的要求执行。</w:t>
      </w:r>
    </w:p>
    <w:p>
      <w:pPr>
        <w:pStyle w:val="4"/>
        <w:numPr>
          <w:ilvl w:val="0"/>
          <w:numId w:val="0"/>
        </w:numPr>
      </w:pPr>
    </w:p>
    <w:p>
      <w:pPr>
        <w:rPr>
          <w:lang w:val="zh-CN"/>
        </w:rPr>
      </w:pPr>
    </w:p>
    <w:p>
      <w:pPr>
        <w:pStyle w:val="2"/>
        <w:rPr>
          <w:lang w:val="zh-CN"/>
        </w:rPr>
        <w:sectPr>
          <w:pgSz w:w="11906" w:h="16838"/>
          <w:pgMar w:top="1440" w:right="1800" w:bottom="1440" w:left="1800" w:header="851" w:footer="992" w:gutter="0"/>
          <w:cols w:space="425" w:num="1"/>
          <w:docGrid w:type="lines" w:linePitch="312" w:charSpace="0"/>
        </w:sectPr>
      </w:pPr>
    </w:p>
    <w:p>
      <w:pPr>
        <w:pStyle w:val="2"/>
        <w:keepNext w:val="0"/>
        <w:numPr>
          <w:ilvl w:val="0"/>
          <w:numId w:val="4"/>
        </w:numPr>
        <w:rPr>
          <w:rFonts w:ascii="宋体" w:hAnsi="宋体" w:eastAsia="宋体"/>
          <w:sz w:val="30"/>
          <w:szCs w:val="30"/>
          <w:lang w:val="zh-CN"/>
        </w:rPr>
      </w:pPr>
      <w:bookmarkStart w:id="160" w:name="_Toc42149925"/>
      <w:bookmarkStart w:id="161" w:name="_Toc42149887"/>
      <w:bookmarkStart w:id="162" w:name="_Toc36906026"/>
      <w:bookmarkStart w:id="163" w:name="_Toc36906691"/>
      <w:bookmarkStart w:id="164" w:name="_Toc36905723"/>
      <w:r>
        <w:rPr>
          <w:rFonts w:hint="eastAsia" w:ascii="宋体" w:hAnsi="宋体" w:eastAsia="宋体"/>
          <w:sz w:val="30"/>
          <w:szCs w:val="30"/>
          <w:lang w:val="zh-CN"/>
        </w:rPr>
        <w:t>基本规定</w:t>
      </w:r>
      <w:bookmarkEnd w:id="160"/>
      <w:bookmarkEnd w:id="161"/>
      <w:bookmarkEnd w:id="162"/>
      <w:bookmarkEnd w:id="163"/>
      <w:bookmarkEnd w:id="164"/>
    </w:p>
    <w:p>
      <w:pPr>
        <w:pStyle w:val="89"/>
        <w:rPr>
          <w:lang w:val="zh-CN"/>
        </w:rPr>
      </w:pPr>
      <w:r>
        <w:rPr>
          <w:rFonts w:hint="eastAsia"/>
          <w:kern w:val="0"/>
        </w:rPr>
        <w:t>3.0.1</w:t>
      </w:r>
      <w:r>
        <w:rPr>
          <w:rFonts w:hint="eastAsia"/>
          <w:lang w:val="zh-CN"/>
        </w:rPr>
        <w:t>常规手段主要包括目测观察、倾斜测量和其他简便测试手段。目测观察指的是专业技术人员对房屋内、外所有可以观测到的部位进行全数检查，倾斜测量为专业技术人员采用经纬仪、全站仪、工程质量检测器等仪器设备对房屋的整体倾斜进行测量，对地下室或无倾斜测量条件的房屋也可采用对同一标高面进行水准测量的方式来间接反映房屋的整体倾斜情况。</w:t>
      </w:r>
    </w:p>
    <w:p>
      <w:pPr>
        <w:pStyle w:val="89"/>
      </w:pPr>
      <w:r>
        <w:rPr>
          <w:rFonts w:hint="eastAsia"/>
          <w:lang w:val="zh-CN"/>
        </w:rPr>
        <w:t>3.0.3一般情况下，以整幢房屋为一个对象进行房屋完损等级评定。根据实际特殊需要，也可以对房屋相对独立的一部分进行完损等级评定；或者对房屋的任一分项或子项单独进行评定，如建筑装饰部分完损等级评定、结构部分完损等级评定、设施设备部分完损等级评定、屋面完损等级评定、上部结构完损等级评定、给排水完损等级评定等。</w:t>
      </w:r>
    </w:p>
    <w:p>
      <w:pPr>
        <w:pStyle w:val="89"/>
        <w:rPr>
          <w:lang w:val="zh-CN"/>
        </w:rPr>
      </w:pPr>
      <w:r>
        <w:rPr>
          <w:rFonts w:hint="eastAsia"/>
          <w:lang w:val="zh-CN"/>
        </w:rPr>
        <w:t>3.0.4房屋完损等级评定仅针对房屋可见部分的表观损伤进行检查和评价，不涉及无法用肉眼直接观测到的房屋内部缺陷及房屋本身存在的其他质量问题。但房屋可见部分的某些特征性损伤可直接或间接反映出房屋可能存在的安全隐患，如承重构件发生严重的变形或开裂、锈蚀、腐朽、风化、蛀蚀等严重削弱结构构件的有效截面、房屋严重渗漏危及电气设备的安全使用、房屋严重倾斜可能导致倾覆事故的发生等。故在房屋完损等级评定的过程中，若发现有涉及房屋结构安全及使用安全的隐患时，应针对性地开展进一步的安全性检测鉴定工作。</w:t>
      </w:r>
    </w:p>
    <w:p>
      <w:pPr>
        <w:pStyle w:val="89"/>
      </w:pPr>
      <w:r>
        <w:rPr>
          <w:rFonts w:hint="eastAsia"/>
          <w:lang w:val="zh-CN"/>
        </w:rPr>
        <w:t>3.0.6本标准根据房屋的构成特征，将房屋按照评定单元、分项、子项三个层次进行逐级拆分，并从低到高逐级对房屋进行评定等级。</w:t>
      </w:r>
    </w:p>
    <w:p>
      <w:pPr>
        <w:pStyle w:val="89"/>
        <w:rPr>
          <w:lang w:val="zh-CN"/>
        </w:rPr>
      </w:pPr>
      <w:r>
        <w:rPr>
          <w:rFonts w:hint="eastAsia"/>
          <w:lang w:val="zh-CN"/>
        </w:rPr>
        <w:t>3.0.7房屋完损等级的评定遵循从细节到整体、由微观到宏观的评定思路，虽然程序上是由低到高逐层进行评定，但由于各评定层级仅仅是对整幢房屋进行的细化拆分，故各评定层级的评定结果在表述性质上具有类比性和一致性，即子项、分项和评定单元的评定结果均由四个等级来标示其损坏程度，而每一个等级所包含的含义也基本相同，如子项的①级、分项的1级、评定单元的一级均表示“符合正常使用的要求”。</w:t>
      </w:r>
    </w:p>
    <w:p>
      <w:pPr>
        <w:pStyle w:val="89"/>
        <w:ind w:firstLine="480" w:firstLineChars="200"/>
      </w:pPr>
      <w:r>
        <w:rPr>
          <w:rFonts w:hint="eastAsia"/>
          <w:lang w:val="zh-CN"/>
        </w:rPr>
        <w:t>为了更准确地对各层次的不同评定等级进行解释说明，本标准从对正常使用要求影响程度的角度出发进行阐述，分为“符合”、“基本符合”、“影响”、“严重影响”四种情况。</w:t>
      </w:r>
    </w:p>
    <w:p>
      <w:pPr>
        <w:pStyle w:val="74"/>
        <w:sectPr>
          <w:pgSz w:w="11906" w:h="16838"/>
          <w:pgMar w:top="1440" w:right="1800" w:bottom="1440" w:left="1800" w:header="851" w:footer="992" w:gutter="0"/>
          <w:cols w:space="425" w:num="1"/>
          <w:docGrid w:type="lines" w:linePitch="312" w:charSpace="0"/>
        </w:sectPr>
      </w:pPr>
    </w:p>
    <w:p>
      <w:pPr>
        <w:pStyle w:val="2"/>
        <w:keepNext w:val="0"/>
        <w:rPr>
          <w:rFonts w:ascii="宋体" w:hAnsi="宋体" w:eastAsia="宋体"/>
          <w:sz w:val="30"/>
          <w:szCs w:val="30"/>
          <w:lang w:val="zh-CN"/>
        </w:rPr>
      </w:pPr>
      <w:bookmarkStart w:id="165" w:name="_Toc42149928"/>
      <w:bookmarkStart w:id="166" w:name="_Toc42149890"/>
      <w:bookmarkStart w:id="167" w:name="_Toc36905726"/>
      <w:bookmarkStart w:id="168" w:name="_Toc36906029"/>
      <w:bookmarkStart w:id="169" w:name="_Toc36906694"/>
      <w:r>
        <w:rPr>
          <w:rFonts w:hint="eastAsia" w:ascii="宋体" w:hAnsi="宋体" w:eastAsia="宋体"/>
          <w:sz w:val="30"/>
          <w:szCs w:val="30"/>
          <w:lang w:val="zh-CN"/>
        </w:rPr>
        <w:t>子项完损等级评定</w:t>
      </w:r>
      <w:bookmarkEnd w:id="165"/>
      <w:bookmarkEnd w:id="166"/>
      <w:bookmarkEnd w:id="167"/>
      <w:bookmarkEnd w:id="168"/>
      <w:bookmarkEnd w:id="169"/>
    </w:p>
    <w:p>
      <w:pPr>
        <w:pStyle w:val="3"/>
        <w:ind w:left="0" w:firstLine="0"/>
        <w:rPr>
          <w:rFonts w:eastAsiaTheme="minorEastAsia"/>
        </w:rPr>
      </w:pPr>
      <w:r>
        <w:rPr>
          <w:rFonts w:eastAsiaTheme="minorEastAsia"/>
        </w:rPr>
        <w:t>一般规定</w:t>
      </w:r>
    </w:p>
    <w:p>
      <w:pPr>
        <w:rPr>
          <w:lang w:val="zh-CN"/>
        </w:rPr>
      </w:pPr>
    </w:p>
    <w:p>
      <w:pPr>
        <w:pStyle w:val="89"/>
        <w:rPr>
          <w:kern w:val="0"/>
        </w:rPr>
      </w:pPr>
      <w:r>
        <w:rPr>
          <w:rFonts w:hint="eastAsia"/>
          <w:kern w:val="0"/>
        </w:rPr>
        <w:t>4.1.2~4.1.3子项完损等级的评定，应根据存在损坏的检查项目数量、各检查项目的损坏程度及范围综合评定，并考虑损坏部位修复难易程度。当存在损坏的检查项目多，各检查项目损坏程度严重，损坏范围大，修复难度大时，应将子项评定为较严重的完损等级，反之应评定为较轻微的完损等级。</w:t>
      </w:r>
    </w:p>
    <w:p>
      <w:pPr>
        <w:pStyle w:val="3"/>
        <w:ind w:left="0" w:firstLine="0"/>
        <w:rPr>
          <w:rFonts w:eastAsiaTheme="minorEastAsia"/>
        </w:rPr>
      </w:pPr>
      <w:bookmarkStart w:id="170" w:name="_Toc36905727"/>
      <w:bookmarkStart w:id="171" w:name="_Toc36906030"/>
      <w:bookmarkStart w:id="172" w:name="_Toc36906695"/>
      <w:bookmarkStart w:id="173" w:name="_Toc42149891"/>
      <w:bookmarkStart w:id="174" w:name="_Toc42149929"/>
      <w:r>
        <w:rPr>
          <w:rFonts w:hint="eastAsia" w:eastAsiaTheme="minorEastAsia"/>
        </w:rPr>
        <w:t>屋面</w:t>
      </w:r>
      <w:bookmarkEnd w:id="170"/>
      <w:bookmarkEnd w:id="171"/>
      <w:bookmarkEnd w:id="172"/>
      <w:bookmarkEnd w:id="173"/>
      <w:bookmarkEnd w:id="174"/>
    </w:p>
    <w:p>
      <w:pPr>
        <w:pStyle w:val="89"/>
        <w:rPr>
          <w:kern w:val="0"/>
        </w:rPr>
      </w:pPr>
      <w:r>
        <w:rPr>
          <w:rFonts w:hint="eastAsia"/>
          <w:kern w:val="0"/>
        </w:rPr>
        <w:t>4.2.3由于屋面形式、屋面实际构造做法的多样性，本标准无法罗列屋面所有检查项目，本评定表中仅列出典型检查项目的完损状况，对于未列入评定表中的其他检查项目，可参照已列入评定表中的类似项目进行评定。</w:t>
      </w:r>
    </w:p>
    <w:p>
      <w:pPr>
        <w:pStyle w:val="3"/>
        <w:ind w:left="0" w:firstLine="0"/>
        <w:rPr>
          <w:rFonts w:eastAsiaTheme="minorEastAsia"/>
        </w:rPr>
      </w:pPr>
      <w:bookmarkStart w:id="175" w:name="_Toc36905728"/>
      <w:bookmarkStart w:id="176" w:name="_Toc36906031"/>
      <w:bookmarkStart w:id="177" w:name="_Toc36906696"/>
      <w:bookmarkStart w:id="178" w:name="_Toc42149892"/>
      <w:bookmarkStart w:id="179" w:name="_Toc42149930"/>
      <w:r>
        <w:rPr>
          <w:rFonts w:hint="eastAsia" w:eastAsiaTheme="minorEastAsia"/>
        </w:rPr>
        <w:t>外立面</w:t>
      </w:r>
      <w:bookmarkEnd w:id="175"/>
      <w:bookmarkEnd w:id="176"/>
      <w:bookmarkEnd w:id="177"/>
      <w:bookmarkEnd w:id="178"/>
      <w:bookmarkEnd w:id="179"/>
    </w:p>
    <w:p>
      <w:pPr>
        <w:pStyle w:val="89"/>
        <w:rPr>
          <w:lang w:val="zh-CN"/>
        </w:rPr>
      </w:pPr>
      <w:r>
        <w:rPr>
          <w:rFonts w:hint="eastAsia"/>
          <w:lang w:val="zh-CN"/>
        </w:rPr>
        <w:t>4.3.1对外保温系统外墙窗口、女儿墙及阴阳角处的开裂、空鼓情况应重点检查。空鼓情况一般采用目视检查，必要时可采用敲击法进行检测。</w:t>
      </w:r>
    </w:p>
    <w:p>
      <w:pPr>
        <w:pStyle w:val="3"/>
        <w:ind w:left="0" w:firstLine="0"/>
        <w:rPr>
          <w:rFonts w:eastAsiaTheme="minorEastAsia"/>
        </w:rPr>
      </w:pPr>
      <w:bookmarkStart w:id="180" w:name="_Toc36905729"/>
      <w:bookmarkStart w:id="181" w:name="_Toc36906032"/>
      <w:bookmarkStart w:id="182" w:name="_Toc36906697"/>
      <w:bookmarkStart w:id="183" w:name="_Toc42149893"/>
      <w:bookmarkStart w:id="184" w:name="_Toc42149931"/>
      <w:r>
        <w:rPr>
          <w:rFonts w:hint="eastAsia" w:eastAsiaTheme="minorEastAsia"/>
        </w:rPr>
        <w:t>室内建筑装饰</w:t>
      </w:r>
      <w:bookmarkEnd w:id="180"/>
      <w:bookmarkEnd w:id="181"/>
      <w:bookmarkEnd w:id="182"/>
      <w:bookmarkEnd w:id="183"/>
      <w:bookmarkEnd w:id="184"/>
    </w:p>
    <w:p>
      <w:pPr>
        <w:pStyle w:val="89"/>
        <w:rPr>
          <w:lang w:val="zh-CN"/>
        </w:rPr>
      </w:pPr>
      <w:r>
        <w:rPr>
          <w:rFonts w:hint="eastAsia"/>
          <w:lang w:val="zh-CN"/>
        </w:rPr>
        <w:t>4.4.1室内包括房间内部和室内公共部位。</w:t>
      </w:r>
    </w:p>
    <w:p>
      <w:pPr>
        <w:pStyle w:val="89"/>
        <w:rPr>
          <w:lang w:val="zh-CN"/>
        </w:rPr>
      </w:pPr>
      <w:r>
        <w:rPr>
          <w:rFonts w:hint="eastAsia"/>
          <w:lang w:val="zh-CN"/>
        </w:rPr>
        <w:t>4.4.3稀缝指木地板板块之间的缝隙变大。楼地面类型划分系参考国家标准《建筑地面工程施工质量验收规范》GB50209-2010。</w:t>
      </w:r>
    </w:p>
    <w:p>
      <w:pPr>
        <w:pStyle w:val="3"/>
        <w:ind w:left="0" w:firstLine="0"/>
        <w:rPr>
          <w:rFonts w:eastAsiaTheme="minorEastAsia"/>
        </w:rPr>
      </w:pPr>
      <w:bookmarkStart w:id="185" w:name="_Toc36905730"/>
      <w:bookmarkStart w:id="186" w:name="_Toc36906033"/>
      <w:bookmarkStart w:id="187" w:name="_Toc36906698"/>
      <w:bookmarkStart w:id="188" w:name="_Toc42149894"/>
      <w:bookmarkStart w:id="189" w:name="_Toc42149932"/>
      <w:r>
        <w:rPr>
          <w:rFonts w:hint="eastAsia" w:eastAsiaTheme="minorEastAsia"/>
        </w:rPr>
        <w:t>门窗</w:t>
      </w:r>
      <w:bookmarkEnd w:id="185"/>
      <w:bookmarkEnd w:id="186"/>
      <w:bookmarkEnd w:id="187"/>
      <w:bookmarkEnd w:id="188"/>
      <w:bookmarkEnd w:id="189"/>
    </w:p>
    <w:p>
      <w:pPr>
        <w:pStyle w:val="89"/>
        <w:rPr>
          <w:lang w:val="zh-CN"/>
        </w:rPr>
      </w:pPr>
      <w:r>
        <w:rPr>
          <w:rFonts w:hint="eastAsia"/>
          <w:kern w:val="0"/>
        </w:rPr>
        <w:t>4.5.1第2款“变形情况”，主要指的是：</w:t>
      </w:r>
      <w:r>
        <w:rPr>
          <w:rFonts w:hint="eastAsia"/>
        </w:rPr>
        <w:t>开关是否灵活，门窗本身及门窗框与墙体交接部位接缝是否严密</w:t>
      </w:r>
      <w:r>
        <w:rPr>
          <w:rFonts w:hint="eastAsia"/>
          <w:lang w:val="zh-CN"/>
        </w:rPr>
        <w:t>。</w:t>
      </w:r>
    </w:p>
    <w:p>
      <w:pPr>
        <w:pStyle w:val="3"/>
        <w:numPr>
          <w:ilvl w:val="0"/>
          <w:numId w:val="0"/>
        </w:numPr>
        <w:rPr>
          <w:rFonts w:eastAsiaTheme="minorEastAsia"/>
          <w:lang w:val="zh-CN"/>
        </w:rPr>
      </w:pPr>
      <w:bookmarkStart w:id="190" w:name="_Toc36905731"/>
      <w:bookmarkStart w:id="191" w:name="_Toc36906034"/>
      <w:bookmarkStart w:id="192" w:name="_Toc36906699"/>
      <w:bookmarkStart w:id="193" w:name="_Toc42149895"/>
      <w:bookmarkStart w:id="194" w:name="_Toc42149933"/>
      <w:r>
        <w:rPr>
          <w:rFonts w:eastAsiaTheme="minorEastAsia"/>
          <w:b/>
          <w:lang w:val="zh-CN"/>
        </w:rPr>
        <w:t>4.7</w:t>
      </w:r>
      <w:r>
        <w:rPr>
          <w:rFonts w:eastAsiaTheme="minorEastAsia"/>
          <w:lang w:val="zh-CN"/>
        </w:rPr>
        <w:t>地基基础</w:t>
      </w:r>
      <w:bookmarkEnd w:id="190"/>
      <w:bookmarkEnd w:id="191"/>
      <w:bookmarkEnd w:id="192"/>
      <w:bookmarkEnd w:id="193"/>
      <w:bookmarkEnd w:id="194"/>
    </w:p>
    <w:p>
      <w:pPr>
        <w:pStyle w:val="89"/>
        <w:rPr>
          <w:kern w:val="0"/>
        </w:rPr>
      </w:pPr>
      <w:r>
        <w:rPr>
          <w:rFonts w:hint="eastAsia"/>
          <w:kern w:val="0"/>
        </w:rPr>
        <w:t>4.7.1通常情况下，地基基础难以进行全面的直接观测或检测。因此，在实际工作中，一般通过上部结构的倾斜及因地基不均匀沉降引起的损坏现象，间接推断地基基础的损坏程度；少数特殊情况下，进行开挖直接检查评定。</w:t>
      </w:r>
    </w:p>
    <w:p>
      <w:pPr>
        <w:pStyle w:val="3"/>
        <w:numPr>
          <w:ilvl w:val="0"/>
          <w:numId w:val="0"/>
        </w:numPr>
        <w:rPr>
          <w:rFonts w:eastAsiaTheme="minorEastAsia"/>
          <w:lang w:val="zh-CN"/>
        </w:rPr>
      </w:pPr>
      <w:bookmarkStart w:id="195" w:name="_Toc36905732"/>
      <w:bookmarkStart w:id="196" w:name="_Toc36906035"/>
      <w:bookmarkStart w:id="197" w:name="_Toc36906700"/>
      <w:bookmarkStart w:id="198" w:name="_Toc42149896"/>
      <w:bookmarkStart w:id="199" w:name="_Toc42149934"/>
      <w:r>
        <w:rPr>
          <w:rFonts w:eastAsiaTheme="minorEastAsia"/>
          <w:b/>
          <w:lang w:val="zh-CN"/>
        </w:rPr>
        <w:t>4.9</w:t>
      </w:r>
      <w:r>
        <w:rPr>
          <w:rFonts w:eastAsiaTheme="minorEastAsia"/>
          <w:lang w:val="zh-CN"/>
        </w:rPr>
        <w:t>给排水设施设备</w:t>
      </w:r>
      <w:bookmarkEnd w:id="195"/>
      <w:bookmarkEnd w:id="196"/>
      <w:bookmarkEnd w:id="197"/>
      <w:bookmarkEnd w:id="198"/>
      <w:bookmarkEnd w:id="199"/>
    </w:p>
    <w:p>
      <w:pPr>
        <w:pStyle w:val="89"/>
        <w:rPr>
          <w:kern w:val="0"/>
        </w:rPr>
      </w:pPr>
      <w:r>
        <w:rPr>
          <w:rFonts w:hint="eastAsia"/>
          <w:kern w:val="0"/>
        </w:rPr>
        <w:t>4.9.1本标准中，给排水设施设备是指维持房屋基本使用功能的设施设备，不包括特殊生产工艺的给排水系统。消防给排水系统设施设备的检测检查应由专业单位根据其他相关规范实施。</w:t>
      </w:r>
    </w:p>
    <w:p>
      <w:pPr>
        <w:pStyle w:val="74"/>
        <w:rPr>
          <w:lang w:val="en-US"/>
        </w:rPr>
        <w:sectPr>
          <w:footerReference r:id="rId11" w:type="default"/>
          <w:pgSz w:w="11906" w:h="16838"/>
          <w:pgMar w:top="1440" w:right="1800" w:bottom="1440" w:left="1800" w:header="851" w:footer="992" w:gutter="0"/>
          <w:cols w:space="425" w:num="1"/>
          <w:docGrid w:type="lines" w:linePitch="312" w:charSpace="0"/>
        </w:sectPr>
      </w:pPr>
    </w:p>
    <w:p>
      <w:pPr>
        <w:pStyle w:val="2"/>
        <w:rPr>
          <w:rFonts w:eastAsia="宋体"/>
          <w:sz w:val="30"/>
          <w:szCs w:val="30"/>
          <w:lang w:val="zh-CN"/>
        </w:rPr>
      </w:pPr>
      <w:bookmarkStart w:id="200" w:name="_Toc36905733"/>
      <w:bookmarkStart w:id="201" w:name="_Toc42149935"/>
      <w:bookmarkStart w:id="202" w:name="_Toc42149897"/>
      <w:bookmarkStart w:id="203" w:name="_Toc36906701"/>
      <w:bookmarkStart w:id="204" w:name="_Toc36906036"/>
      <w:r>
        <w:rPr>
          <w:rFonts w:eastAsia="宋体"/>
          <w:sz w:val="30"/>
          <w:szCs w:val="30"/>
          <w:lang w:val="zh-CN"/>
        </w:rPr>
        <w:t>分项及评定单元完损等级评定</w:t>
      </w:r>
      <w:bookmarkEnd w:id="200"/>
      <w:bookmarkEnd w:id="201"/>
      <w:bookmarkEnd w:id="202"/>
      <w:bookmarkEnd w:id="203"/>
      <w:bookmarkEnd w:id="204"/>
    </w:p>
    <w:p>
      <w:pPr>
        <w:pStyle w:val="3"/>
        <w:ind w:left="0" w:firstLine="0"/>
        <w:rPr>
          <w:rFonts w:eastAsiaTheme="minorEastAsia"/>
        </w:rPr>
      </w:pPr>
      <w:bookmarkStart w:id="205" w:name="_Toc36905734"/>
      <w:bookmarkStart w:id="206" w:name="_Toc36906702"/>
      <w:bookmarkStart w:id="207" w:name="_Toc36906037"/>
      <w:bookmarkStart w:id="208" w:name="_Toc42149936"/>
      <w:bookmarkStart w:id="209" w:name="_Toc42149898"/>
      <w:r>
        <w:rPr>
          <w:rFonts w:eastAsiaTheme="minorEastAsia"/>
        </w:rPr>
        <w:t>分项</w:t>
      </w:r>
      <w:bookmarkEnd w:id="205"/>
      <w:bookmarkEnd w:id="206"/>
      <w:bookmarkEnd w:id="207"/>
      <w:bookmarkEnd w:id="208"/>
      <w:bookmarkEnd w:id="209"/>
    </w:p>
    <w:p>
      <w:pPr>
        <w:pStyle w:val="89"/>
        <w:rPr>
          <w:kern w:val="0"/>
        </w:rPr>
      </w:pPr>
      <w:r>
        <w:rPr>
          <w:rFonts w:hint="eastAsia"/>
          <w:kern w:val="0"/>
        </w:rPr>
        <w:t>5.1.1受房屋高度、建筑用途等因素的影响，屋面、外立面、室内建筑装饰、门窗、其他非结构构件及建筑构造五个子项的权重会有所不同，如：对于高层房屋，根据楼层数量，屋面子项权重应该有所降低；对于大型商场、超市等占地面积较大的房屋，门窗数量相对较少，其权重调整系数取小值；对于体育馆等大空间房屋，</w:t>
      </w:r>
      <w:r>
        <w:rPr>
          <w:kern w:val="0"/>
        </w:rPr>
        <w:t>其他非结构构件及建筑构造</w:t>
      </w:r>
      <w:r>
        <w:rPr>
          <w:rFonts w:hint="eastAsia"/>
          <w:kern w:val="0"/>
        </w:rPr>
        <w:t>数量较少，权重亦应该有所降低。因此，综合考虑各种因素，对各子项权重大小进行了规定；同时，为避免极端情况发生，规定了各子项权重的区间，当权重超出区间时，按接近的区间限值取值。</w:t>
      </w:r>
    </w:p>
    <w:p>
      <w:pPr>
        <w:pStyle w:val="89"/>
        <w:rPr>
          <w:kern w:val="0"/>
        </w:rPr>
      </w:pPr>
      <w:r>
        <w:rPr>
          <w:rFonts w:hint="eastAsia"/>
          <w:kern w:val="0"/>
        </w:rPr>
        <w:t>5.1.2各级权重系数和，即表示同一等级的权重系数相加，代表这一等级的子项在建筑装饰部分所占的比重</w:t>
      </w:r>
      <w:r>
        <w:rPr>
          <w:rFonts w:hint="eastAsia"/>
        </w:rPr>
        <w:t>。</w:t>
      </w:r>
      <w:r>
        <w:rPr>
          <w:rFonts w:hint="eastAsia"/>
          <w:kern w:val="0"/>
          <w:lang w:val="zh-CN"/>
        </w:rPr>
        <w:t>建筑装饰部分的完损等级，</w:t>
      </w:r>
      <w:r>
        <w:rPr>
          <w:rFonts w:hint="eastAsia"/>
          <w:kern w:val="0"/>
        </w:rPr>
        <w:t>是根据五个子项完损等级、综合评定得出的，五个子项完损等级中，应允许有较低一级子项的存在。如：分项完损等级评定为1级的情况下，应允许五个子项中有</w:t>
      </w:r>
      <w:r>
        <w:rPr>
          <w:rFonts w:hint="eastAsia"/>
        </w:rPr>
        <w:t>②级子项，但②级子项的权重和不能超过一定范围。</w:t>
      </w:r>
    </w:p>
    <w:p>
      <w:pPr>
        <w:pStyle w:val="89"/>
        <w:rPr>
          <w:kern w:val="0"/>
        </w:rPr>
      </w:pPr>
      <w:r>
        <w:rPr>
          <w:rFonts w:hint="eastAsia"/>
          <w:kern w:val="0"/>
          <w:lang w:val="zh-CN"/>
        </w:rPr>
        <w:t>5.1.3结构部分只有地基基础、上部结构两个子项，设施设备部分包括水卫、电气、暖通三个子项，两个分项的子项较少，且各分项重要程度基本相当，因此，按子项较低等级作为分项的完损等级。</w:t>
      </w:r>
    </w:p>
    <w:p>
      <w:pPr>
        <w:pStyle w:val="3"/>
        <w:ind w:left="0" w:firstLine="0"/>
        <w:rPr>
          <w:rFonts w:eastAsiaTheme="minorEastAsia"/>
        </w:rPr>
      </w:pPr>
      <w:bookmarkStart w:id="210" w:name="_Toc36906703"/>
      <w:bookmarkStart w:id="211" w:name="_Toc36906038"/>
      <w:bookmarkStart w:id="212" w:name="_Toc36905735"/>
      <w:bookmarkStart w:id="213" w:name="_Toc42149899"/>
      <w:bookmarkStart w:id="214" w:name="_Toc42149937"/>
      <w:r>
        <w:rPr>
          <w:rFonts w:hint="eastAsia" w:eastAsiaTheme="minorEastAsia"/>
        </w:rPr>
        <w:t>评定单元</w:t>
      </w:r>
      <w:bookmarkEnd w:id="210"/>
      <w:bookmarkEnd w:id="211"/>
      <w:bookmarkEnd w:id="212"/>
      <w:bookmarkEnd w:id="213"/>
      <w:bookmarkEnd w:id="214"/>
    </w:p>
    <w:p>
      <w:pPr>
        <w:pStyle w:val="89"/>
        <w:rPr>
          <w:kern w:val="0"/>
        </w:rPr>
      </w:pPr>
      <w:r>
        <w:rPr>
          <w:rFonts w:hint="eastAsia"/>
          <w:kern w:val="0"/>
        </w:rPr>
        <w:t>5.2.2对于一般房屋，</w:t>
      </w:r>
      <w:r>
        <w:rPr>
          <w:kern w:val="0"/>
        </w:rPr>
        <w:t>建筑装饰部分、结构部分</w:t>
      </w:r>
      <w:r>
        <w:rPr>
          <w:rFonts w:hint="eastAsia"/>
          <w:kern w:val="0"/>
        </w:rPr>
        <w:t>两个分项的损坏程度对评定单元完损等级评定结果有较大影响，因此，一般情况下，取上述两个分项的较低等级作为评定单元完损等级。</w:t>
      </w:r>
    </w:p>
    <w:p>
      <w:pPr>
        <w:pStyle w:val="89"/>
        <w:rPr>
          <w:kern w:val="0"/>
        </w:rPr>
      </w:pPr>
    </w:p>
    <w:p>
      <w:pPr>
        <w:pStyle w:val="74"/>
        <w:rPr>
          <w:kern w:val="0"/>
        </w:rPr>
      </w:pPr>
    </w:p>
    <w:p>
      <w:pPr>
        <w:pStyle w:val="74"/>
        <w:sectPr>
          <w:footerReference r:id="rId12" w:type="default"/>
          <w:pgSz w:w="11906" w:h="16838"/>
          <w:pgMar w:top="1440" w:right="1800" w:bottom="1440" w:left="1800" w:header="851" w:footer="992" w:gutter="0"/>
          <w:cols w:space="425" w:num="1"/>
          <w:docGrid w:type="lines" w:linePitch="312" w:charSpace="0"/>
        </w:sectPr>
      </w:pPr>
    </w:p>
    <w:p>
      <w:pPr>
        <w:pStyle w:val="2"/>
        <w:rPr>
          <w:rFonts w:asciiTheme="minorEastAsia" w:hAnsiTheme="minorEastAsia" w:eastAsiaTheme="minorEastAsia"/>
          <w:sz w:val="30"/>
          <w:szCs w:val="30"/>
          <w:lang w:val="zh-CN"/>
        </w:rPr>
      </w:pPr>
      <w:bookmarkStart w:id="215" w:name="_Toc36906039"/>
      <w:bookmarkStart w:id="216" w:name="_Toc36905736"/>
      <w:bookmarkStart w:id="217" w:name="_Toc42149938"/>
      <w:bookmarkStart w:id="218" w:name="_Toc36906704"/>
      <w:bookmarkStart w:id="219" w:name="_Toc42149900"/>
      <w:r>
        <w:rPr>
          <w:rFonts w:hint="eastAsia" w:asciiTheme="minorEastAsia" w:hAnsiTheme="minorEastAsia" w:eastAsiaTheme="minorEastAsia"/>
          <w:sz w:val="30"/>
          <w:szCs w:val="30"/>
          <w:lang w:val="zh-CN"/>
        </w:rPr>
        <w:t>评定报告</w:t>
      </w:r>
      <w:bookmarkEnd w:id="215"/>
      <w:bookmarkEnd w:id="216"/>
      <w:bookmarkEnd w:id="217"/>
      <w:bookmarkEnd w:id="218"/>
      <w:bookmarkEnd w:id="219"/>
    </w:p>
    <w:p>
      <w:pPr>
        <w:pStyle w:val="89"/>
        <w:rPr>
          <w:kern w:val="0"/>
        </w:rPr>
      </w:pPr>
      <w:r>
        <w:rPr>
          <w:rFonts w:hint="eastAsia"/>
          <w:kern w:val="0"/>
        </w:rPr>
        <w:t>6.0.1本标准对评定报告的具体格式不作强制性规定，各地区的鉴定机构和单位可根据本标准的原则自行设计报告格式，但上述主要内容宜在报告中予以体现。</w:t>
      </w:r>
    </w:p>
    <w:p>
      <w:pPr>
        <w:pStyle w:val="89"/>
        <w:rPr>
          <w:kern w:val="0"/>
        </w:rPr>
      </w:pPr>
      <w:r>
        <w:rPr>
          <w:kern w:val="0"/>
        </w:rPr>
        <w:t>6.0.2</w:t>
      </w:r>
      <w:r>
        <w:rPr>
          <w:rFonts w:hint="eastAsia"/>
          <w:kern w:val="0"/>
        </w:rPr>
        <w:t>评定报告中，对房屋各子项的调查与检测宜做到详尽、具体，尤其对于评定为③级、④级的子项，应采用文字、照片、图表等方式对检测结果及评定过程进行描述。</w:t>
      </w:r>
    </w:p>
    <w:p>
      <w:pPr>
        <w:pStyle w:val="89"/>
        <w:rPr>
          <w:kern w:val="0"/>
        </w:rPr>
      </w:pPr>
      <w:r>
        <w:rPr>
          <w:kern w:val="0"/>
        </w:rPr>
        <w:t>6.0.3</w:t>
      </w:r>
      <w:r>
        <w:rPr>
          <w:rFonts w:hint="eastAsia"/>
          <w:kern w:val="0"/>
        </w:rPr>
        <w:t>此处的安全隐患包括结构安全隐患和使用安全隐患。结构安全隐患即正常使用荷载下结构构件的承载能力和结构体系的系统可靠性，如结构体系不合理、整体倾斜超过《危险房屋鉴定标准》</w:t>
      </w:r>
      <w:r>
        <w:rPr>
          <w:kern w:val="0"/>
        </w:rPr>
        <w:t>JGJ125</w:t>
      </w:r>
      <w:r>
        <w:rPr>
          <w:rFonts w:hint="eastAsia"/>
          <w:kern w:val="0"/>
        </w:rPr>
        <w:t>规定的限值或房屋存在承重构件拆改等。使用安全隐患包括非结构部分的高处坠落、水电设施设备的安全使用等可能引起次生灾害的隐患，如外墙饰面材料及悬挂物的坠落、室内吊顶或灯具的坠落、电路绝缘失效而引起的短路或漏电等。</w:t>
      </w:r>
    </w:p>
    <w:p>
      <w:pPr>
        <w:rPr>
          <w:rFonts w:asci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Palace Script MT">
    <w:panose1 w:val="030303020206070C0B05"/>
    <w:charset w:val="00"/>
    <w:family w:val="auto"/>
    <w:pitch w:val="default"/>
    <w:sig w:usb0="00000003" w:usb1="00000000" w:usb2="00000000" w:usb3="00000000" w:csb0="20000001" w:csb1="00000000"/>
  </w:font>
  <w:font w:name="OCR A Std">
    <w:panose1 w:val="020F0609000104060307"/>
    <w:charset w:val="00"/>
    <w:family w:val="auto"/>
    <w:pitch w:val="default"/>
    <w:sig w:usb0="00000003" w:usb1="00000000" w:usb2="00000000" w:usb3="00000000" w:csb0="20000001" w:csb1="00000000"/>
  </w:font>
  <w:font w:name="Nueva Std">
    <w:panose1 w:val="020B0503070504090203"/>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EuroRoman">
    <w:panose1 w:val="000004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II</w:t>
    </w:r>
    <w:r>
      <w:rPr>
        <w:rStyle w:val="39"/>
      </w:rP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3</w:t>
    </w:r>
    <w:r>
      <w:rPr>
        <w:lang w:val="zh-CN"/>
      </w:rPr>
      <w:fldChar w:fldCharType="end"/>
    </w:r>
  </w:p>
  <w:p>
    <w:pPr>
      <w:pStyle w:val="2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4</w:t>
    </w:r>
    <w:r>
      <w:rPr>
        <w:lang w:val="zh-CN"/>
      </w:rPr>
      <w:fldChar w:fldCharType="end"/>
    </w:r>
  </w:p>
  <w:p>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16</w:t>
    </w:r>
    <w:r>
      <w:rPr>
        <w:lang w:val="zh-CN"/>
      </w:rPr>
      <w:fldChar w:fldCharType="end"/>
    </w:r>
  </w:p>
  <w:p>
    <w:pPr>
      <w:pStyle w:val="2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17</w:t>
    </w:r>
    <w:r>
      <w:rPr>
        <w:lang w:val="zh-CN"/>
      </w:rPr>
      <w:fldChar w:fldCharType="end"/>
    </w:r>
  </w:p>
  <w:p>
    <w:pPr>
      <w:pStyle w:val="2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26</w:t>
    </w:r>
    <w:r>
      <w:rPr>
        <w:lang w:val="zh-CN"/>
      </w:rPr>
      <w:fldChar w:fldCharType="end"/>
    </w:r>
  </w:p>
  <w:p>
    <w:pPr>
      <w:pStyle w:val="2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28</w:t>
    </w:r>
    <w:r>
      <w:rPr>
        <w:lang w:val="zh-CN"/>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5614"/>
    <w:multiLevelType w:val="multilevel"/>
    <w:tmpl w:val="29515614"/>
    <w:lvl w:ilvl="0" w:tentative="0">
      <w:start w:val="1"/>
      <w:numFmt w:val="decimal"/>
      <w:pStyle w:val="2"/>
      <w:lvlText w:val="%1"/>
      <w:lvlJc w:val="left"/>
      <w:pPr>
        <w:ind w:left="432" w:hanging="432"/>
      </w:pPr>
      <w:rPr>
        <w:rFonts w:hint="default" w:ascii="Times New Roman" w:hAnsi="Times New Roman" w:cs="Times New Roman"/>
      </w:rPr>
    </w:lvl>
    <w:lvl w:ilvl="1" w:tentative="0">
      <w:start w:val="1"/>
      <w:numFmt w:val="decimal"/>
      <w:pStyle w:val="3"/>
      <w:lvlText w:val="%1.%2"/>
      <w:lvlJc w:val="left"/>
      <w:pPr>
        <w:ind w:left="4121" w:hanging="576"/>
      </w:pPr>
      <w:rPr>
        <w:rFonts w:hint="eastAsia" w:cs="Times New Roman"/>
        <w:b/>
      </w:rPr>
    </w:lvl>
    <w:lvl w:ilvl="2" w:tentative="0">
      <w:start w:val="1"/>
      <w:numFmt w:val="decimal"/>
      <w:pStyle w:val="4"/>
      <w:lvlText w:val="%1.%2.%3"/>
      <w:lvlJc w:val="left"/>
      <w:pPr>
        <w:ind w:left="1004" w:hanging="720"/>
      </w:pPr>
      <w:rPr>
        <w:rFonts w:hint="default" w:ascii="Times New Roman" w:hAnsi="Times New Roman" w:cs="Times New Roman"/>
        <w:b w:val="0"/>
        <w:i w:val="0"/>
      </w:rPr>
    </w:lvl>
    <w:lvl w:ilvl="3" w:tentative="0">
      <w:start w:val="1"/>
      <w:numFmt w:val="decimal"/>
      <w:pStyle w:val="5"/>
      <w:lvlText w:val="%1.%2.%3.%4"/>
      <w:lvlJc w:val="left"/>
      <w:pPr>
        <w:ind w:left="864" w:hanging="864"/>
      </w:pPr>
      <w:rPr>
        <w:rFonts w:hint="eastAsia" w:cs="Times New Roman"/>
      </w:rPr>
    </w:lvl>
    <w:lvl w:ilvl="4" w:tentative="0">
      <w:start w:val="1"/>
      <w:numFmt w:val="decimal"/>
      <w:pStyle w:val="6"/>
      <w:lvlText w:val="%1.%2.%3.%4.%5"/>
      <w:lvlJc w:val="left"/>
      <w:pPr>
        <w:ind w:left="1008" w:hanging="1008"/>
      </w:pPr>
      <w:rPr>
        <w:rFonts w:hint="eastAsia" w:cs="Times New Roman"/>
      </w:rPr>
    </w:lvl>
    <w:lvl w:ilvl="5" w:tentative="0">
      <w:start w:val="1"/>
      <w:numFmt w:val="decimal"/>
      <w:pStyle w:val="7"/>
      <w:lvlText w:val="%1.%2.%3.%4.%5.%6"/>
      <w:lvlJc w:val="left"/>
      <w:pPr>
        <w:ind w:left="1152" w:hanging="1152"/>
      </w:pPr>
      <w:rPr>
        <w:rFonts w:hint="eastAsia" w:cs="Times New Roman"/>
      </w:rPr>
    </w:lvl>
    <w:lvl w:ilvl="6" w:tentative="0">
      <w:start w:val="1"/>
      <w:numFmt w:val="decimal"/>
      <w:pStyle w:val="8"/>
      <w:lvlText w:val="%1.%2.%3.%4.%5.%6.%7"/>
      <w:lvlJc w:val="left"/>
      <w:pPr>
        <w:ind w:left="1296" w:hanging="1296"/>
      </w:pPr>
      <w:rPr>
        <w:rFonts w:hint="eastAsia" w:cs="Times New Roman"/>
      </w:rPr>
    </w:lvl>
    <w:lvl w:ilvl="7" w:tentative="0">
      <w:start w:val="1"/>
      <w:numFmt w:val="decimal"/>
      <w:pStyle w:val="9"/>
      <w:lvlText w:val="%1.%2.%3.%4.%5.%6.%7.%8"/>
      <w:lvlJc w:val="left"/>
      <w:pPr>
        <w:ind w:left="1440" w:hanging="1440"/>
      </w:pPr>
      <w:rPr>
        <w:rFonts w:hint="eastAsia" w:cs="Times New Roman"/>
      </w:rPr>
    </w:lvl>
    <w:lvl w:ilvl="8" w:tentative="0">
      <w:start w:val="1"/>
      <w:numFmt w:val="decimal"/>
      <w:pStyle w:val="10"/>
      <w:lvlText w:val="%1.%2.%3.%4.%5.%6.%7.%8.%9"/>
      <w:lvlJc w:val="left"/>
      <w:pPr>
        <w:ind w:left="1584" w:hanging="1584"/>
      </w:pPr>
      <w:rPr>
        <w:rFonts w:hint="eastAsia" w:cs="Times New Roman"/>
      </w:rPr>
    </w:lvl>
  </w:abstractNum>
  <w:abstractNum w:abstractNumId="1">
    <w:nsid w:val="39BF0630"/>
    <w:multiLevelType w:val="multilevel"/>
    <w:tmpl w:val="39BF0630"/>
    <w:lvl w:ilvl="0" w:tentative="0">
      <w:start w:val="1"/>
      <w:numFmt w:val="upperRoman"/>
      <w:pStyle w:val="71"/>
      <w:lvlText w:val="%1"/>
      <w:lvlJc w:val="center"/>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875C1"/>
    <w:rsid w:val="00000BEC"/>
    <w:rsid w:val="00001142"/>
    <w:rsid w:val="00001E15"/>
    <w:rsid w:val="0000200E"/>
    <w:rsid w:val="00002AAD"/>
    <w:rsid w:val="000036A8"/>
    <w:rsid w:val="00003B38"/>
    <w:rsid w:val="000040CD"/>
    <w:rsid w:val="000046CD"/>
    <w:rsid w:val="00004D12"/>
    <w:rsid w:val="000058A0"/>
    <w:rsid w:val="000106EE"/>
    <w:rsid w:val="00010BE6"/>
    <w:rsid w:val="00010CF9"/>
    <w:rsid w:val="0001453C"/>
    <w:rsid w:val="00014C19"/>
    <w:rsid w:val="000171E4"/>
    <w:rsid w:val="00017C38"/>
    <w:rsid w:val="00020EDD"/>
    <w:rsid w:val="00021B50"/>
    <w:rsid w:val="00022133"/>
    <w:rsid w:val="00022E48"/>
    <w:rsid w:val="000247B6"/>
    <w:rsid w:val="000249C7"/>
    <w:rsid w:val="00024CAF"/>
    <w:rsid w:val="00025F4D"/>
    <w:rsid w:val="00027016"/>
    <w:rsid w:val="00027FF8"/>
    <w:rsid w:val="000301BD"/>
    <w:rsid w:val="00030998"/>
    <w:rsid w:val="000323CA"/>
    <w:rsid w:val="00035BDB"/>
    <w:rsid w:val="000371C9"/>
    <w:rsid w:val="00037C23"/>
    <w:rsid w:val="00040A21"/>
    <w:rsid w:val="00040D32"/>
    <w:rsid w:val="00044C49"/>
    <w:rsid w:val="0004593C"/>
    <w:rsid w:val="00047ED0"/>
    <w:rsid w:val="00050DE9"/>
    <w:rsid w:val="00051B00"/>
    <w:rsid w:val="000521D4"/>
    <w:rsid w:val="00052572"/>
    <w:rsid w:val="00052E2D"/>
    <w:rsid w:val="0005322F"/>
    <w:rsid w:val="000542F0"/>
    <w:rsid w:val="000562AA"/>
    <w:rsid w:val="000564FD"/>
    <w:rsid w:val="00060F94"/>
    <w:rsid w:val="000633BE"/>
    <w:rsid w:val="00063535"/>
    <w:rsid w:val="00063E61"/>
    <w:rsid w:val="00063F4F"/>
    <w:rsid w:val="000645D4"/>
    <w:rsid w:val="000649AC"/>
    <w:rsid w:val="00065433"/>
    <w:rsid w:val="00065454"/>
    <w:rsid w:val="00066946"/>
    <w:rsid w:val="00070BD5"/>
    <w:rsid w:val="000718C4"/>
    <w:rsid w:val="00072ACD"/>
    <w:rsid w:val="0007531A"/>
    <w:rsid w:val="00075FF8"/>
    <w:rsid w:val="0007764D"/>
    <w:rsid w:val="0007796E"/>
    <w:rsid w:val="00077D29"/>
    <w:rsid w:val="00082A4D"/>
    <w:rsid w:val="00083285"/>
    <w:rsid w:val="00084877"/>
    <w:rsid w:val="000849AD"/>
    <w:rsid w:val="00085BD1"/>
    <w:rsid w:val="0008785E"/>
    <w:rsid w:val="000879E9"/>
    <w:rsid w:val="00091A53"/>
    <w:rsid w:val="00092285"/>
    <w:rsid w:val="00094FD9"/>
    <w:rsid w:val="00095097"/>
    <w:rsid w:val="000960A3"/>
    <w:rsid w:val="00096A02"/>
    <w:rsid w:val="000972DC"/>
    <w:rsid w:val="00097999"/>
    <w:rsid w:val="000A0C88"/>
    <w:rsid w:val="000A239E"/>
    <w:rsid w:val="000A3632"/>
    <w:rsid w:val="000A5B5D"/>
    <w:rsid w:val="000A60D3"/>
    <w:rsid w:val="000A6AD2"/>
    <w:rsid w:val="000B006E"/>
    <w:rsid w:val="000B41C6"/>
    <w:rsid w:val="000B576E"/>
    <w:rsid w:val="000B5C00"/>
    <w:rsid w:val="000B5D09"/>
    <w:rsid w:val="000B781E"/>
    <w:rsid w:val="000B7E08"/>
    <w:rsid w:val="000B7EB7"/>
    <w:rsid w:val="000C0D4D"/>
    <w:rsid w:val="000C2904"/>
    <w:rsid w:val="000C3D64"/>
    <w:rsid w:val="000C527D"/>
    <w:rsid w:val="000C59CF"/>
    <w:rsid w:val="000C6AA5"/>
    <w:rsid w:val="000C6D0C"/>
    <w:rsid w:val="000D0B34"/>
    <w:rsid w:val="000D0CE6"/>
    <w:rsid w:val="000D59C8"/>
    <w:rsid w:val="000D6AF8"/>
    <w:rsid w:val="000D70D7"/>
    <w:rsid w:val="000E054B"/>
    <w:rsid w:val="000E2511"/>
    <w:rsid w:val="000E2792"/>
    <w:rsid w:val="000E2EE5"/>
    <w:rsid w:val="000E56E4"/>
    <w:rsid w:val="000E5B3A"/>
    <w:rsid w:val="000E5E30"/>
    <w:rsid w:val="000E6F0D"/>
    <w:rsid w:val="000E7E1E"/>
    <w:rsid w:val="000F18C4"/>
    <w:rsid w:val="000F260A"/>
    <w:rsid w:val="000F3A63"/>
    <w:rsid w:val="000F3E88"/>
    <w:rsid w:val="000F3F5B"/>
    <w:rsid w:val="000F4122"/>
    <w:rsid w:val="000F5A76"/>
    <w:rsid w:val="000F7708"/>
    <w:rsid w:val="00101520"/>
    <w:rsid w:val="00101900"/>
    <w:rsid w:val="0010233A"/>
    <w:rsid w:val="00102344"/>
    <w:rsid w:val="00104ADF"/>
    <w:rsid w:val="00105235"/>
    <w:rsid w:val="001075B8"/>
    <w:rsid w:val="00107CBF"/>
    <w:rsid w:val="00107EE2"/>
    <w:rsid w:val="001110F5"/>
    <w:rsid w:val="00112B1E"/>
    <w:rsid w:val="001144F8"/>
    <w:rsid w:val="001208BD"/>
    <w:rsid w:val="001212BF"/>
    <w:rsid w:val="00121A6D"/>
    <w:rsid w:val="00123A4A"/>
    <w:rsid w:val="00123C86"/>
    <w:rsid w:val="00124741"/>
    <w:rsid w:val="00125C99"/>
    <w:rsid w:val="00126096"/>
    <w:rsid w:val="001273A9"/>
    <w:rsid w:val="00131044"/>
    <w:rsid w:val="00134905"/>
    <w:rsid w:val="001351A3"/>
    <w:rsid w:val="001352BC"/>
    <w:rsid w:val="00135C84"/>
    <w:rsid w:val="00137CFB"/>
    <w:rsid w:val="001416FA"/>
    <w:rsid w:val="001417F4"/>
    <w:rsid w:val="001424E2"/>
    <w:rsid w:val="00142D04"/>
    <w:rsid w:val="00147820"/>
    <w:rsid w:val="001503E6"/>
    <w:rsid w:val="00152E38"/>
    <w:rsid w:val="00153ECD"/>
    <w:rsid w:val="001544ED"/>
    <w:rsid w:val="00154D49"/>
    <w:rsid w:val="00154FE2"/>
    <w:rsid w:val="00156885"/>
    <w:rsid w:val="00156F41"/>
    <w:rsid w:val="00157DA3"/>
    <w:rsid w:val="00162682"/>
    <w:rsid w:val="0016321B"/>
    <w:rsid w:val="001648EB"/>
    <w:rsid w:val="001656AB"/>
    <w:rsid w:val="00166343"/>
    <w:rsid w:val="001673F8"/>
    <w:rsid w:val="00170DF2"/>
    <w:rsid w:val="00170ED1"/>
    <w:rsid w:val="0017180F"/>
    <w:rsid w:val="001725DB"/>
    <w:rsid w:val="00174293"/>
    <w:rsid w:val="00174DA6"/>
    <w:rsid w:val="00175B51"/>
    <w:rsid w:val="001766EE"/>
    <w:rsid w:val="00176A96"/>
    <w:rsid w:val="001772F5"/>
    <w:rsid w:val="0018173D"/>
    <w:rsid w:val="0018289A"/>
    <w:rsid w:val="00182A7E"/>
    <w:rsid w:val="001843A0"/>
    <w:rsid w:val="0018759A"/>
    <w:rsid w:val="001909E7"/>
    <w:rsid w:val="00190EF2"/>
    <w:rsid w:val="0019102C"/>
    <w:rsid w:val="00191520"/>
    <w:rsid w:val="00194105"/>
    <w:rsid w:val="00194D1D"/>
    <w:rsid w:val="00194E45"/>
    <w:rsid w:val="0019536F"/>
    <w:rsid w:val="00195B06"/>
    <w:rsid w:val="00196A3B"/>
    <w:rsid w:val="001A18A4"/>
    <w:rsid w:val="001A192D"/>
    <w:rsid w:val="001A1EF2"/>
    <w:rsid w:val="001A28CF"/>
    <w:rsid w:val="001A554E"/>
    <w:rsid w:val="001A5C92"/>
    <w:rsid w:val="001A6ABA"/>
    <w:rsid w:val="001A7996"/>
    <w:rsid w:val="001B1172"/>
    <w:rsid w:val="001B263A"/>
    <w:rsid w:val="001B2A86"/>
    <w:rsid w:val="001B2E46"/>
    <w:rsid w:val="001B352F"/>
    <w:rsid w:val="001B364B"/>
    <w:rsid w:val="001B37BB"/>
    <w:rsid w:val="001B42C1"/>
    <w:rsid w:val="001B4C3C"/>
    <w:rsid w:val="001B4DBF"/>
    <w:rsid w:val="001B598D"/>
    <w:rsid w:val="001B7DD7"/>
    <w:rsid w:val="001C1B9E"/>
    <w:rsid w:val="001C2568"/>
    <w:rsid w:val="001C375F"/>
    <w:rsid w:val="001C530C"/>
    <w:rsid w:val="001C5AF3"/>
    <w:rsid w:val="001C6F46"/>
    <w:rsid w:val="001D206B"/>
    <w:rsid w:val="001D3586"/>
    <w:rsid w:val="001D38EE"/>
    <w:rsid w:val="001D42C6"/>
    <w:rsid w:val="001D4B96"/>
    <w:rsid w:val="001D4D86"/>
    <w:rsid w:val="001D4F5C"/>
    <w:rsid w:val="001D55B5"/>
    <w:rsid w:val="001D6268"/>
    <w:rsid w:val="001D636D"/>
    <w:rsid w:val="001D6E92"/>
    <w:rsid w:val="001D7D0E"/>
    <w:rsid w:val="001E12E3"/>
    <w:rsid w:val="001E166C"/>
    <w:rsid w:val="001E174B"/>
    <w:rsid w:val="001E31F6"/>
    <w:rsid w:val="001E397B"/>
    <w:rsid w:val="001E5751"/>
    <w:rsid w:val="001E6F53"/>
    <w:rsid w:val="001F140C"/>
    <w:rsid w:val="001F1D92"/>
    <w:rsid w:val="001F34D9"/>
    <w:rsid w:val="001F39AF"/>
    <w:rsid w:val="001F54AC"/>
    <w:rsid w:val="001F6753"/>
    <w:rsid w:val="001F6988"/>
    <w:rsid w:val="001F7F16"/>
    <w:rsid w:val="00200D9C"/>
    <w:rsid w:val="0020160D"/>
    <w:rsid w:val="00202D05"/>
    <w:rsid w:val="002046E6"/>
    <w:rsid w:val="00204DCB"/>
    <w:rsid w:val="00204F14"/>
    <w:rsid w:val="002057E7"/>
    <w:rsid w:val="00210ECA"/>
    <w:rsid w:val="00210F2B"/>
    <w:rsid w:val="00211EFF"/>
    <w:rsid w:val="002123B4"/>
    <w:rsid w:val="00213D8E"/>
    <w:rsid w:val="00215EA6"/>
    <w:rsid w:val="002169D5"/>
    <w:rsid w:val="00220FBD"/>
    <w:rsid w:val="00221C4F"/>
    <w:rsid w:val="002241CC"/>
    <w:rsid w:val="002260AD"/>
    <w:rsid w:val="00227BA9"/>
    <w:rsid w:val="00230019"/>
    <w:rsid w:val="0023012A"/>
    <w:rsid w:val="0023169F"/>
    <w:rsid w:val="002326C9"/>
    <w:rsid w:val="00233976"/>
    <w:rsid w:val="00234AB8"/>
    <w:rsid w:val="00235012"/>
    <w:rsid w:val="00235A72"/>
    <w:rsid w:val="00237D18"/>
    <w:rsid w:val="002402E0"/>
    <w:rsid w:val="00241162"/>
    <w:rsid w:val="00241BBA"/>
    <w:rsid w:val="00242220"/>
    <w:rsid w:val="00242647"/>
    <w:rsid w:val="00242B3C"/>
    <w:rsid w:val="00242BA4"/>
    <w:rsid w:val="00243DEA"/>
    <w:rsid w:val="00245755"/>
    <w:rsid w:val="0024628D"/>
    <w:rsid w:val="0025105E"/>
    <w:rsid w:val="002524FD"/>
    <w:rsid w:val="00252CC1"/>
    <w:rsid w:val="00255B10"/>
    <w:rsid w:val="00256614"/>
    <w:rsid w:val="002574E7"/>
    <w:rsid w:val="00264D2B"/>
    <w:rsid w:val="00265113"/>
    <w:rsid w:val="0026644E"/>
    <w:rsid w:val="0026681E"/>
    <w:rsid w:val="002676DB"/>
    <w:rsid w:val="002700E5"/>
    <w:rsid w:val="00271561"/>
    <w:rsid w:val="002726BF"/>
    <w:rsid w:val="00272D19"/>
    <w:rsid w:val="0027394C"/>
    <w:rsid w:val="00274A70"/>
    <w:rsid w:val="00274DD3"/>
    <w:rsid w:val="0027501E"/>
    <w:rsid w:val="0027658D"/>
    <w:rsid w:val="00281694"/>
    <w:rsid w:val="002821A2"/>
    <w:rsid w:val="00282208"/>
    <w:rsid w:val="0028445E"/>
    <w:rsid w:val="0028579F"/>
    <w:rsid w:val="00290FCE"/>
    <w:rsid w:val="00291794"/>
    <w:rsid w:val="00292734"/>
    <w:rsid w:val="00292B70"/>
    <w:rsid w:val="00292CEF"/>
    <w:rsid w:val="00294606"/>
    <w:rsid w:val="00295A48"/>
    <w:rsid w:val="002966B3"/>
    <w:rsid w:val="002A21E4"/>
    <w:rsid w:val="002A4BB9"/>
    <w:rsid w:val="002A51E1"/>
    <w:rsid w:val="002A6BF2"/>
    <w:rsid w:val="002B1186"/>
    <w:rsid w:val="002B4E4D"/>
    <w:rsid w:val="002B5EFB"/>
    <w:rsid w:val="002B5F25"/>
    <w:rsid w:val="002B67AA"/>
    <w:rsid w:val="002B75D3"/>
    <w:rsid w:val="002C0AD6"/>
    <w:rsid w:val="002C15DA"/>
    <w:rsid w:val="002C301B"/>
    <w:rsid w:val="002C4B74"/>
    <w:rsid w:val="002C62BC"/>
    <w:rsid w:val="002C6B5F"/>
    <w:rsid w:val="002C7853"/>
    <w:rsid w:val="002D07DA"/>
    <w:rsid w:val="002D2DB1"/>
    <w:rsid w:val="002D4579"/>
    <w:rsid w:val="002D54CB"/>
    <w:rsid w:val="002D5D8D"/>
    <w:rsid w:val="002E0B5F"/>
    <w:rsid w:val="002E1AD9"/>
    <w:rsid w:val="002E1D17"/>
    <w:rsid w:val="002E21A4"/>
    <w:rsid w:val="002E4B07"/>
    <w:rsid w:val="002E52A2"/>
    <w:rsid w:val="002E5AFA"/>
    <w:rsid w:val="002E6472"/>
    <w:rsid w:val="002E695F"/>
    <w:rsid w:val="002E6C86"/>
    <w:rsid w:val="002E76E7"/>
    <w:rsid w:val="002F16D9"/>
    <w:rsid w:val="002F5628"/>
    <w:rsid w:val="002F78FA"/>
    <w:rsid w:val="0030126A"/>
    <w:rsid w:val="00301D20"/>
    <w:rsid w:val="00302492"/>
    <w:rsid w:val="00302EAE"/>
    <w:rsid w:val="003032F4"/>
    <w:rsid w:val="003036F7"/>
    <w:rsid w:val="003040BF"/>
    <w:rsid w:val="00304ECD"/>
    <w:rsid w:val="003057F0"/>
    <w:rsid w:val="0030667F"/>
    <w:rsid w:val="00306F9A"/>
    <w:rsid w:val="00307244"/>
    <w:rsid w:val="00311EA1"/>
    <w:rsid w:val="00311F75"/>
    <w:rsid w:val="00314A85"/>
    <w:rsid w:val="00315046"/>
    <w:rsid w:val="00315690"/>
    <w:rsid w:val="00321149"/>
    <w:rsid w:val="003213E9"/>
    <w:rsid w:val="00324B9E"/>
    <w:rsid w:val="0032513C"/>
    <w:rsid w:val="00325D6F"/>
    <w:rsid w:val="00327DFD"/>
    <w:rsid w:val="003306E6"/>
    <w:rsid w:val="003310C3"/>
    <w:rsid w:val="003344D9"/>
    <w:rsid w:val="00334E7D"/>
    <w:rsid w:val="00335753"/>
    <w:rsid w:val="003360F5"/>
    <w:rsid w:val="0033708D"/>
    <w:rsid w:val="00337982"/>
    <w:rsid w:val="00340261"/>
    <w:rsid w:val="0034076E"/>
    <w:rsid w:val="003415D3"/>
    <w:rsid w:val="0034185E"/>
    <w:rsid w:val="00343849"/>
    <w:rsid w:val="00344557"/>
    <w:rsid w:val="00344C24"/>
    <w:rsid w:val="003471ED"/>
    <w:rsid w:val="00350D23"/>
    <w:rsid w:val="003521DC"/>
    <w:rsid w:val="00352496"/>
    <w:rsid w:val="0035250D"/>
    <w:rsid w:val="003550B6"/>
    <w:rsid w:val="00356070"/>
    <w:rsid w:val="0036036B"/>
    <w:rsid w:val="00360DEF"/>
    <w:rsid w:val="00361F86"/>
    <w:rsid w:val="00362526"/>
    <w:rsid w:val="00365595"/>
    <w:rsid w:val="00366003"/>
    <w:rsid w:val="00367ED6"/>
    <w:rsid w:val="003707AA"/>
    <w:rsid w:val="00371F02"/>
    <w:rsid w:val="003724ED"/>
    <w:rsid w:val="00372A99"/>
    <w:rsid w:val="003747D2"/>
    <w:rsid w:val="00374F33"/>
    <w:rsid w:val="0037610D"/>
    <w:rsid w:val="00376A9E"/>
    <w:rsid w:val="00376DE0"/>
    <w:rsid w:val="003770AD"/>
    <w:rsid w:val="00377B41"/>
    <w:rsid w:val="00382B01"/>
    <w:rsid w:val="00382E48"/>
    <w:rsid w:val="003851EF"/>
    <w:rsid w:val="00390027"/>
    <w:rsid w:val="003901E2"/>
    <w:rsid w:val="003908E3"/>
    <w:rsid w:val="00391DBD"/>
    <w:rsid w:val="00392E05"/>
    <w:rsid w:val="00392EE5"/>
    <w:rsid w:val="003932EE"/>
    <w:rsid w:val="0039366E"/>
    <w:rsid w:val="00394ED4"/>
    <w:rsid w:val="003957A7"/>
    <w:rsid w:val="00395F26"/>
    <w:rsid w:val="003A02BF"/>
    <w:rsid w:val="003A0EDA"/>
    <w:rsid w:val="003A3D93"/>
    <w:rsid w:val="003A45D9"/>
    <w:rsid w:val="003A4E29"/>
    <w:rsid w:val="003A519A"/>
    <w:rsid w:val="003B01D4"/>
    <w:rsid w:val="003B0A26"/>
    <w:rsid w:val="003B261F"/>
    <w:rsid w:val="003B27F3"/>
    <w:rsid w:val="003B2B62"/>
    <w:rsid w:val="003B3EF2"/>
    <w:rsid w:val="003B514D"/>
    <w:rsid w:val="003B5F1F"/>
    <w:rsid w:val="003C1347"/>
    <w:rsid w:val="003C23F2"/>
    <w:rsid w:val="003C34F4"/>
    <w:rsid w:val="003C37AB"/>
    <w:rsid w:val="003C4B16"/>
    <w:rsid w:val="003C543D"/>
    <w:rsid w:val="003C57C3"/>
    <w:rsid w:val="003C60FC"/>
    <w:rsid w:val="003C6C0D"/>
    <w:rsid w:val="003C750D"/>
    <w:rsid w:val="003C7766"/>
    <w:rsid w:val="003D0B27"/>
    <w:rsid w:val="003D1212"/>
    <w:rsid w:val="003D16A6"/>
    <w:rsid w:val="003D2559"/>
    <w:rsid w:val="003D4B9E"/>
    <w:rsid w:val="003D4BA1"/>
    <w:rsid w:val="003D4D79"/>
    <w:rsid w:val="003D5A73"/>
    <w:rsid w:val="003D6087"/>
    <w:rsid w:val="003D68FF"/>
    <w:rsid w:val="003D7B35"/>
    <w:rsid w:val="003D7BE0"/>
    <w:rsid w:val="003E02C2"/>
    <w:rsid w:val="003E0366"/>
    <w:rsid w:val="003E03CE"/>
    <w:rsid w:val="003E2D20"/>
    <w:rsid w:val="003E3D7B"/>
    <w:rsid w:val="003E5A1E"/>
    <w:rsid w:val="003E63D1"/>
    <w:rsid w:val="003E73A5"/>
    <w:rsid w:val="003F0320"/>
    <w:rsid w:val="003F0D6F"/>
    <w:rsid w:val="003F49AC"/>
    <w:rsid w:val="003F67B7"/>
    <w:rsid w:val="003F6B4A"/>
    <w:rsid w:val="003F723F"/>
    <w:rsid w:val="00400168"/>
    <w:rsid w:val="00400B9E"/>
    <w:rsid w:val="00400C35"/>
    <w:rsid w:val="00400D3B"/>
    <w:rsid w:val="00401DEC"/>
    <w:rsid w:val="00402319"/>
    <w:rsid w:val="0040285A"/>
    <w:rsid w:val="00403D90"/>
    <w:rsid w:val="004040E5"/>
    <w:rsid w:val="00404C32"/>
    <w:rsid w:val="004068DC"/>
    <w:rsid w:val="00407E61"/>
    <w:rsid w:val="00412A3F"/>
    <w:rsid w:val="004132EC"/>
    <w:rsid w:val="00413EA3"/>
    <w:rsid w:val="00416047"/>
    <w:rsid w:val="0041667D"/>
    <w:rsid w:val="00416A5E"/>
    <w:rsid w:val="00416AFF"/>
    <w:rsid w:val="00420765"/>
    <w:rsid w:val="004216F3"/>
    <w:rsid w:val="00421EB4"/>
    <w:rsid w:val="0042345E"/>
    <w:rsid w:val="00424AD0"/>
    <w:rsid w:val="00426843"/>
    <w:rsid w:val="004273C6"/>
    <w:rsid w:val="004275B6"/>
    <w:rsid w:val="004329E5"/>
    <w:rsid w:val="00432DC1"/>
    <w:rsid w:val="00435CD4"/>
    <w:rsid w:val="004360CE"/>
    <w:rsid w:val="004363C9"/>
    <w:rsid w:val="004378B4"/>
    <w:rsid w:val="00437C39"/>
    <w:rsid w:val="00440386"/>
    <w:rsid w:val="004409D3"/>
    <w:rsid w:val="00441EB0"/>
    <w:rsid w:val="00442BAD"/>
    <w:rsid w:val="00444D8F"/>
    <w:rsid w:val="00444F41"/>
    <w:rsid w:val="004450BF"/>
    <w:rsid w:val="0044630A"/>
    <w:rsid w:val="004464F1"/>
    <w:rsid w:val="0044702E"/>
    <w:rsid w:val="004508D5"/>
    <w:rsid w:val="00450E61"/>
    <w:rsid w:val="004518F0"/>
    <w:rsid w:val="00452F71"/>
    <w:rsid w:val="00453277"/>
    <w:rsid w:val="00453C87"/>
    <w:rsid w:val="00455BAC"/>
    <w:rsid w:val="00456FD9"/>
    <w:rsid w:val="00457C95"/>
    <w:rsid w:val="00460E2E"/>
    <w:rsid w:val="004625BE"/>
    <w:rsid w:val="00462712"/>
    <w:rsid w:val="00463029"/>
    <w:rsid w:val="00466186"/>
    <w:rsid w:val="004661F7"/>
    <w:rsid w:val="00466CAB"/>
    <w:rsid w:val="0046776F"/>
    <w:rsid w:val="00470504"/>
    <w:rsid w:val="004705FD"/>
    <w:rsid w:val="00471FEF"/>
    <w:rsid w:val="004727DB"/>
    <w:rsid w:val="00473C0A"/>
    <w:rsid w:val="004740AC"/>
    <w:rsid w:val="004740DE"/>
    <w:rsid w:val="0047458F"/>
    <w:rsid w:val="0047486F"/>
    <w:rsid w:val="00474C6C"/>
    <w:rsid w:val="0047580F"/>
    <w:rsid w:val="004762E3"/>
    <w:rsid w:val="00476330"/>
    <w:rsid w:val="0048190F"/>
    <w:rsid w:val="00482C81"/>
    <w:rsid w:val="00487030"/>
    <w:rsid w:val="00487CE2"/>
    <w:rsid w:val="0049038C"/>
    <w:rsid w:val="004919A1"/>
    <w:rsid w:val="00494047"/>
    <w:rsid w:val="004947AD"/>
    <w:rsid w:val="00495C2E"/>
    <w:rsid w:val="0049608C"/>
    <w:rsid w:val="0049735C"/>
    <w:rsid w:val="00497401"/>
    <w:rsid w:val="00497611"/>
    <w:rsid w:val="004A0F10"/>
    <w:rsid w:val="004A2D21"/>
    <w:rsid w:val="004A31C4"/>
    <w:rsid w:val="004A330B"/>
    <w:rsid w:val="004A6250"/>
    <w:rsid w:val="004B01B2"/>
    <w:rsid w:val="004B1691"/>
    <w:rsid w:val="004B6191"/>
    <w:rsid w:val="004C0ADA"/>
    <w:rsid w:val="004C2F3B"/>
    <w:rsid w:val="004C2F98"/>
    <w:rsid w:val="004C32B9"/>
    <w:rsid w:val="004C35C7"/>
    <w:rsid w:val="004C4BA3"/>
    <w:rsid w:val="004C4DD4"/>
    <w:rsid w:val="004C5830"/>
    <w:rsid w:val="004D3259"/>
    <w:rsid w:val="004D35B6"/>
    <w:rsid w:val="004D3E45"/>
    <w:rsid w:val="004D3EF0"/>
    <w:rsid w:val="004D44E5"/>
    <w:rsid w:val="004D61E7"/>
    <w:rsid w:val="004D6494"/>
    <w:rsid w:val="004D6690"/>
    <w:rsid w:val="004D7584"/>
    <w:rsid w:val="004E0303"/>
    <w:rsid w:val="004E0CA5"/>
    <w:rsid w:val="004E150C"/>
    <w:rsid w:val="004E24EE"/>
    <w:rsid w:val="004E32A8"/>
    <w:rsid w:val="004E3856"/>
    <w:rsid w:val="004E48F4"/>
    <w:rsid w:val="004E72AB"/>
    <w:rsid w:val="004E7F55"/>
    <w:rsid w:val="004F0538"/>
    <w:rsid w:val="004F1459"/>
    <w:rsid w:val="004F46B6"/>
    <w:rsid w:val="004F5283"/>
    <w:rsid w:val="004F552B"/>
    <w:rsid w:val="004F6F2E"/>
    <w:rsid w:val="004F7728"/>
    <w:rsid w:val="004F7A7C"/>
    <w:rsid w:val="00502BC4"/>
    <w:rsid w:val="00503617"/>
    <w:rsid w:val="00503887"/>
    <w:rsid w:val="0050415F"/>
    <w:rsid w:val="005046C5"/>
    <w:rsid w:val="00505212"/>
    <w:rsid w:val="00505765"/>
    <w:rsid w:val="00505CD4"/>
    <w:rsid w:val="005062C5"/>
    <w:rsid w:val="00507F81"/>
    <w:rsid w:val="00510D25"/>
    <w:rsid w:val="0051108F"/>
    <w:rsid w:val="00511E8B"/>
    <w:rsid w:val="005127CE"/>
    <w:rsid w:val="005134F7"/>
    <w:rsid w:val="00513AE0"/>
    <w:rsid w:val="00513FB5"/>
    <w:rsid w:val="00517940"/>
    <w:rsid w:val="005179F4"/>
    <w:rsid w:val="0052224B"/>
    <w:rsid w:val="00523455"/>
    <w:rsid w:val="00523B20"/>
    <w:rsid w:val="00523D44"/>
    <w:rsid w:val="00524ED2"/>
    <w:rsid w:val="00524F20"/>
    <w:rsid w:val="00526D84"/>
    <w:rsid w:val="00526F79"/>
    <w:rsid w:val="005276FF"/>
    <w:rsid w:val="00532F55"/>
    <w:rsid w:val="005336C8"/>
    <w:rsid w:val="00533877"/>
    <w:rsid w:val="00533EA0"/>
    <w:rsid w:val="00534B29"/>
    <w:rsid w:val="00535FA1"/>
    <w:rsid w:val="005363A8"/>
    <w:rsid w:val="00537862"/>
    <w:rsid w:val="00541CDA"/>
    <w:rsid w:val="00543277"/>
    <w:rsid w:val="00543E56"/>
    <w:rsid w:val="005454B9"/>
    <w:rsid w:val="005457C3"/>
    <w:rsid w:val="00545ECD"/>
    <w:rsid w:val="005465CF"/>
    <w:rsid w:val="005478E4"/>
    <w:rsid w:val="00550112"/>
    <w:rsid w:val="00551747"/>
    <w:rsid w:val="005530E9"/>
    <w:rsid w:val="00555501"/>
    <w:rsid w:val="0055578D"/>
    <w:rsid w:val="0056041B"/>
    <w:rsid w:val="0056086F"/>
    <w:rsid w:val="005610AD"/>
    <w:rsid w:val="00561B15"/>
    <w:rsid w:val="00561BEF"/>
    <w:rsid w:val="005650FE"/>
    <w:rsid w:val="0056768D"/>
    <w:rsid w:val="00570D1B"/>
    <w:rsid w:val="00570F36"/>
    <w:rsid w:val="00570FB5"/>
    <w:rsid w:val="0057194C"/>
    <w:rsid w:val="00573B21"/>
    <w:rsid w:val="00573E86"/>
    <w:rsid w:val="00575103"/>
    <w:rsid w:val="005752FD"/>
    <w:rsid w:val="005764AB"/>
    <w:rsid w:val="00576801"/>
    <w:rsid w:val="005815EF"/>
    <w:rsid w:val="00584297"/>
    <w:rsid w:val="005867A9"/>
    <w:rsid w:val="005916EB"/>
    <w:rsid w:val="00592121"/>
    <w:rsid w:val="00593031"/>
    <w:rsid w:val="00593A83"/>
    <w:rsid w:val="00593D40"/>
    <w:rsid w:val="0059524B"/>
    <w:rsid w:val="00595660"/>
    <w:rsid w:val="00595C02"/>
    <w:rsid w:val="005A1989"/>
    <w:rsid w:val="005A27B6"/>
    <w:rsid w:val="005A2ACC"/>
    <w:rsid w:val="005A432F"/>
    <w:rsid w:val="005A5200"/>
    <w:rsid w:val="005A56C2"/>
    <w:rsid w:val="005A6DB4"/>
    <w:rsid w:val="005A6F94"/>
    <w:rsid w:val="005B19F3"/>
    <w:rsid w:val="005B36D0"/>
    <w:rsid w:val="005B47E5"/>
    <w:rsid w:val="005B5C64"/>
    <w:rsid w:val="005B664A"/>
    <w:rsid w:val="005B708A"/>
    <w:rsid w:val="005B7875"/>
    <w:rsid w:val="005B79A3"/>
    <w:rsid w:val="005C14A6"/>
    <w:rsid w:val="005C2512"/>
    <w:rsid w:val="005C310C"/>
    <w:rsid w:val="005C32A5"/>
    <w:rsid w:val="005C560A"/>
    <w:rsid w:val="005C66C7"/>
    <w:rsid w:val="005C682A"/>
    <w:rsid w:val="005C69D5"/>
    <w:rsid w:val="005C7D1D"/>
    <w:rsid w:val="005D0842"/>
    <w:rsid w:val="005D0C9A"/>
    <w:rsid w:val="005D1145"/>
    <w:rsid w:val="005D1DCB"/>
    <w:rsid w:val="005D25E8"/>
    <w:rsid w:val="005D2855"/>
    <w:rsid w:val="005D291F"/>
    <w:rsid w:val="005D38BA"/>
    <w:rsid w:val="005D3BE2"/>
    <w:rsid w:val="005D60D1"/>
    <w:rsid w:val="005D6214"/>
    <w:rsid w:val="005D6C3B"/>
    <w:rsid w:val="005D72D7"/>
    <w:rsid w:val="005D73F4"/>
    <w:rsid w:val="005D7B1C"/>
    <w:rsid w:val="005D7C4B"/>
    <w:rsid w:val="005E1449"/>
    <w:rsid w:val="005E1630"/>
    <w:rsid w:val="005E2265"/>
    <w:rsid w:val="005E71EA"/>
    <w:rsid w:val="005F1C1C"/>
    <w:rsid w:val="005F1D98"/>
    <w:rsid w:val="005F212B"/>
    <w:rsid w:val="005F291A"/>
    <w:rsid w:val="005F33FE"/>
    <w:rsid w:val="005F4560"/>
    <w:rsid w:val="005F5DE7"/>
    <w:rsid w:val="005F7910"/>
    <w:rsid w:val="00600695"/>
    <w:rsid w:val="006006E6"/>
    <w:rsid w:val="00600E72"/>
    <w:rsid w:val="006015DA"/>
    <w:rsid w:val="0060305D"/>
    <w:rsid w:val="00605004"/>
    <w:rsid w:val="00605BA6"/>
    <w:rsid w:val="006072C9"/>
    <w:rsid w:val="006115EF"/>
    <w:rsid w:val="00612058"/>
    <w:rsid w:val="006153CE"/>
    <w:rsid w:val="00615D8B"/>
    <w:rsid w:val="006176BF"/>
    <w:rsid w:val="0061779F"/>
    <w:rsid w:val="00620677"/>
    <w:rsid w:val="0062282D"/>
    <w:rsid w:val="00624C98"/>
    <w:rsid w:val="00625DBF"/>
    <w:rsid w:val="006304D8"/>
    <w:rsid w:val="00632431"/>
    <w:rsid w:val="006343E4"/>
    <w:rsid w:val="00634FFA"/>
    <w:rsid w:val="006367D9"/>
    <w:rsid w:val="0063694E"/>
    <w:rsid w:val="006378DE"/>
    <w:rsid w:val="0063792F"/>
    <w:rsid w:val="00640E35"/>
    <w:rsid w:val="00641BC4"/>
    <w:rsid w:val="0064219D"/>
    <w:rsid w:val="00642265"/>
    <w:rsid w:val="00642310"/>
    <w:rsid w:val="0064259E"/>
    <w:rsid w:val="00643F0B"/>
    <w:rsid w:val="006508CA"/>
    <w:rsid w:val="00651B44"/>
    <w:rsid w:val="006527D0"/>
    <w:rsid w:val="00653377"/>
    <w:rsid w:val="00653C23"/>
    <w:rsid w:val="00654922"/>
    <w:rsid w:val="0065504B"/>
    <w:rsid w:val="006559C6"/>
    <w:rsid w:val="00657BF2"/>
    <w:rsid w:val="00657ED3"/>
    <w:rsid w:val="00661973"/>
    <w:rsid w:val="00662FE9"/>
    <w:rsid w:val="00663C2F"/>
    <w:rsid w:val="00663DA5"/>
    <w:rsid w:val="00663E27"/>
    <w:rsid w:val="006641C6"/>
    <w:rsid w:val="0067050B"/>
    <w:rsid w:val="00670715"/>
    <w:rsid w:val="00671E4D"/>
    <w:rsid w:val="00672055"/>
    <w:rsid w:val="00672EEB"/>
    <w:rsid w:val="006744DB"/>
    <w:rsid w:val="00675C9E"/>
    <w:rsid w:val="00676834"/>
    <w:rsid w:val="0068004A"/>
    <w:rsid w:val="006804F5"/>
    <w:rsid w:val="00683055"/>
    <w:rsid w:val="00683131"/>
    <w:rsid w:val="0068483C"/>
    <w:rsid w:val="006855EE"/>
    <w:rsid w:val="0068619E"/>
    <w:rsid w:val="00687418"/>
    <w:rsid w:val="006913D0"/>
    <w:rsid w:val="0069220B"/>
    <w:rsid w:val="006931F5"/>
    <w:rsid w:val="00693F24"/>
    <w:rsid w:val="00694BE7"/>
    <w:rsid w:val="006964B2"/>
    <w:rsid w:val="00696E80"/>
    <w:rsid w:val="006978B3"/>
    <w:rsid w:val="00697BCE"/>
    <w:rsid w:val="006A12E1"/>
    <w:rsid w:val="006A22B4"/>
    <w:rsid w:val="006A23AB"/>
    <w:rsid w:val="006A5CD2"/>
    <w:rsid w:val="006B02DE"/>
    <w:rsid w:val="006B02E9"/>
    <w:rsid w:val="006B0402"/>
    <w:rsid w:val="006B0AD1"/>
    <w:rsid w:val="006B1CA2"/>
    <w:rsid w:val="006B1D83"/>
    <w:rsid w:val="006B3188"/>
    <w:rsid w:val="006B3AF9"/>
    <w:rsid w:val="006B4126"/>
    <w:rsid w:val="006B5802"/>
    <w:rsid w:val="006B5BE6"/>
    <w:rsid w:val="006B6C10"/>
    <w:rsid w:val="006B6D2A"/>
    <w:rsid w:val="006B7663"/>
    <w:rsid w:val="006B7A89"/>
    <w:rsid w:val="006B7CF5"/>
    <w:rsid w:val="006B7E60"/>
    <w:rsid w:val="006C1F59"/>
    <w:rsid w:val="006C2B69"/>
    <w:rsid w:val="006C2F50"/>
    <w:rsid w:val="006C4A9C"/>
    <w:rsid w:val="006C4D1B"/>
    <w:rsid w:val="006C76C0"/>
    <w:rsid w:val="006C7CD3"/>
    <w:rsid w:val="006C7E31"/>
    <w:rsid w:val="006D0336"/>
    <w:rsid w:val="006D1BC6"/>
    <w:rsid w:val="006D268C"/>
    <w:rsid w:val="006D34AD"/>
    <w:rsid w:val="006D43C4"/>
    <w:rsid w:val="006D4665"/>
    <w:rsid w:val="006D50B2"/>
    <w:rsid w:val="006D6BA5"/>
    <w:rsid w:val="006E18DD"/>
    <w:rsid w:val="006E2B9E"/>
    <w:rsid w:val="006E392B"/>
    <w:rsid w:val="006E4BE5"/>
    <w:rsid w:val="006E4F3E"/>
    <w:rsid w:val="006E5027"/>
    <w:rsid w:val="006E50AF"/>
    <w:rsid w:val="006E51E4"/>
    <w:rsid w:val="006E51EF"/>
    <w:rsid w:val="006E5B3B"/>
    <w:rsid w:val="006E789B"/>
    <w:rsid w:val="006F0048"/>
    <w:rsid w:val="006F0DE0"/>
    <w:rsid w:val="006F1373"/>
    <w:rsid w:val="006F20A3"/>
    <w:rsid w:val="006F3317"/>
    <w:rsid w:val="006F3558"/>
    <w:rsid w:val="006F4508"/>
    <w:rsid w:val="006F56EF"/>
    <w:rsid w:val="006F574C"/>
    <w:rsid w:val="006F6916"/>
    <w:rsid w:val="00700A44"/>
    <w:rsid w:val="00700B6D"/>
    <w:rsid w:val="00701B69"/>
    <w:rsid w:val="00701D64"/>
    <w:rsid w:val="00701FC0"/>
    <w:rsid w:val="00703B28"/>
    <w:rsid w:val="00704817"/>
    <w:rsid w:val="0070566A"/>
    <w:rsid w:val="007072E4"/>
    <w:rsid w:val="00707D65"/>
    <w:rsid w:val="00707EC2"/>
    <w:rsid w:val="00710070"/>
    <w:rsid w:val="007111C6"/>
    <w:rsid w:val="00711350"/>
    <w:rsid w:val="00711826"/>
    <w:rsid w:val="00711CAF"/>
    <w:rsid w:val="00712C33"/>
    <w:rsid w:val="0071447A"/>
    <w:rsid w:val="007152A2"/>
    <w:rsid w:val="0071602D"/>
    <w:rsid w:val="007201ED"/>
    <w:rsid w:val="007204A1"/>
    <w:rsid w:val="0072266B"/>
    <w:rsid w:val="007233FD"/>
    <w:rsid w:val="00723CD0"/>
    <w:rsid w:val="00724077"/>
    <w:rsid w:val="007256B7"/>
    <w:rsid w:val="007314AC"/>
    <w:rsid w:val="0073154D"/>
    <w:rsid w:val="00732A14"/>
    <w:rsid w:val="00733814"/>
    <w:rsid w:val="00733B84"/>
    <w:rsid w:val="00735FEA"/>
    <w:rsid w:val="007435F3"/>
    <w:rsid w:val="00745DDD"/>
    <w:rsid w:val="00752265"/>
    <w:rsid w:val="00754B33"/>
    <w:rsid w:val="007557E7"/>
    <w:rsid w:val="0075659D"/>
    <w:rsid w:val="0075718D"/>
    <w:rsid w:val="0076103C"/>
    <w:rsid w:val="00761C0E"/>
    <w:rsid w:val="00762909"/>
    <w:rsid w:val="007673C0"/>
    <w:rsid w:val="00767D9C"/>
    <w:rsid w:val="00770325"/>
    <w:rsid w:val="007703A5"/>
    <w:rsid w:val="007717AF"/>
    <w:rsid w:val="00772A12"/>
    <w:rsid w:val="00773281"/>
    <w:rsid w:val="0077423D"/>
    <w:rsid w:val="007759A0"/>
    <w:rsid w:val="007812A3"/>
    <w:rsid w:val="0078189F"/>
    <w:rsid w:val="00782077"/>
    <w:rsid w:val="00782097"/>
    <w:rsid w:val="0078402A"/>
    <w:rsid w:val="0078529F"/>
    <w:rsid w:val="0078684B"/>
    <w:rsid w:val="007918B3"/>
    <w:rsid w:val="007928EC"/>
    <w:rsid w:val="00795BEC"/>
    <w:rsid w:val="00795DCB"/>
    <w:rsid w:val="00796A7B"/>
    <w:rsid w:val="00797DD0"/>
    <w:rsid w:val="007A0398"/>
    <w:rsid w:val="007A03D2"/>
    <w:rsid w:val="007A03E8"/>
    <w:rsid w:val="007A0D43"/>
    <w:rsid w:val="007A1354"/>
    <w:rsid w:val="007A3579"/>
    <w:rsid w:val="007A38A5"/>
    <w:rsid w:val="007A4735"/>
    <w:rsid w:val="007A5B81"/>
    <w:rsid w:val="007A607F"/>
    <w:rsid w:val="007A64EF"/>
    <w:rsid w:val="007A72C2"/>
    <w:rsid w:val="007B1764"/>
    <w:rsid w:val="007B1EBF"/>
    <w:rsid w:val="007B2759"/>
    <w:rsid w:val="007B3D8C"/>
    <w:rsid w:val="007B3F11"/>
    <w:rsid w:val="007B4EB0"/>
    <w:rsid w:val="007B6C23"/>
    <w:rsid w:val="007B6DDE"/>
    <w:rsid w:val="007B7AAC"/>
    <w:rsid w:val="007C2C36"/>
    <w:rsid w:val="007C33A6"/>
    <w:rsid w:val="007C4267"/>
    <w:rsid w:val="007C43BC"/>
    <w:rsid w:val="007C4498"/>
    <w:rsid w:val="007C48D7"/>
    <w:rsid w:val="007C503B"/>
    <w:rsid w:val="007C5E76"/>
    <w:rsid w:val="007C6D5F"/>
    <w:rsid w:val="007D1132"/>
    <w:rsid w:val="007D129F"/>
    <w:rsid w:val="007D1B16"/>
    <w:rsid w:val="007D289C"/>
    <w:rsid w:val="007D3880"/>
    <w:rsid w:val="007D388B"/>
    <w:rsid w:val="007D4BB7"/>
    <w:rsid w:val="007D6710"/>
    <w:rsid w:val="007E0A24"/>
    <w:rsid w:val="007E0C05"/>
    <w:rsid w:val="007E156B"/>
    <w:rsid w:val="007E1950"/>
    <w:rsid w:val="007E3142"/>
    <w:rsid w:val="007E34E5"/>
    <w:rsid w:val="007E403B"/>
    <w:rsid w:val="007E7062"/>
    <w:rsid w:val="007F0260"/>
    <w:rsid w:val="007F0461"/>
    <w:rsid w:val="007F0F07"/>
    <w:rsid w:val="007F10C0"/>
    <w:rsid w:val="007F3A37"/>
    <w:rsid w:val="007F3AAF"/>
    <w:rsid w:val="007F630A"/>
    <w:rsid w:val="00800DAD"/>
    <w:rsid w:val="00801039"/>
    <w:rsid w:val="00801CF6"/>
    <w:rsid w:val="008029C6"/>
    <w:rsid w:val="008039AB"/>
    <w:rsid w:val="0080585A"/>
    <w:rsid w:val="008076B1"/>
    <w:rsid w:val="00810168"/>
    <w:rsid w:val="008110D9"/>
    <w:rsid w:val="00811B42"/>
    <w:rsid w:val="00813123"/>
    <w:rsid w:val="008146BF"/>
    <w:rsid w:val="00815485"/>
    <w:rsid w:val="008168FF"/>
    <w:rsid w:val="008169E4"/>
    <w:rsid w:val="00816C15"/>
    <w:rsid w:val="00821114"/>
    <w:rsid w:val="0082242D"/>
    <w:rsid w:val="008234FD"/>
    <w:rsid w:val="00823680"/>
    <w:rsid w:val="0082440A"/>
    <w:rsid w:val="0082568E"/>
    <w:rsid w:val="00825BE6"/>
    <w:rsid w:val="0083048D"/>
    <w:rsid w:val="0083433E"/>
    <w:rsid w:val="00834522"/>
    <w:rsid w:val="00835DB9"/>
    <w:rsid w:val="008378B2"/>
    <w:rsid w:val="00840631"/>
    <w:rsid w:val="008422FC"/>
    <w:rsid w:val="00844B97"/>
    <w:rsid w:val="008515FF"/>
    <w:rsid w:val="00852282"/>
    <w:rsid w:val="0085232B"/>
    <w:rsid w:val="00853AC3"/>
    <w:rsid w:val="00853C7B"/>
    <w:rsid w:val="008542AB"/>
    <w:rsid w:val="00856739"/>
    <w:rsid w:val="008610DD"/>
    <w:rsid w:val="0086144E"/>
    <w:rsid w:val="00861F91"/>
    <w:rsid w:val="008623C0"/>
    <w:rsid w:val="0086260A"/>
    <w:rsid w:val="00862F11"/>
    <w:rsid w:val="00863CE0"/>
    <w:rsid w:val="008662EE"/>
    <w:rsid w:val="00867C39"/>
    <w:rsid w:val="008753AF"/>
    <w:rsid w:val="0087683E"/>
    <w:rsid w:val="0087713A"/>
    <w:rsid w:val="00877A29"/>
    <w:rsid w:val="00877AB0"/>
    <w:rsid w:val="00877B19"/>
    <w:rsid w:val="008809C7"/>
    <w:rsid w:val="00882874"/>
    <w:rsid w:val="008837DA"/>
    <w:rsid w:val="00883F83"/>
    <w:rsid w:val="00884572"/>
    <w:rsid w:val="008854FF"/>
    <w:rsid w:val="0088572A"/>
    <w:rsid w:val="00885903"/>
    <w:rsid w:val="00890108"/>
    <w:rsid w:val="008935D9"/>
    <w:rsid w:val="00894AC2"/>
    <w:rsid w:val="00894B1D"/>
    <w:rsid w:val="008956C4"/>
    <w:rsid w:val="00896014"/>
    <w:rsid w:val="0089672B"/>
    <w:rsid w:val="00896D37"/>
    <w:rsid w:val="008A06AB"/>
    <w:rsid w:val="008A155C"/>
    <w:rsid w:val="008A3020"/>
    <w:rsid w:val="008A34BE"/>
    <w:rsid w:val="008A4CC3"/>
    <w:rsid w:val="008A54D5"/>
    <w:rsid w:val="008A5D71"/>
    <w:rsid w:val="008A6DA8"/>
    <w:rsid w:val="008B0817"/>
    <w:rsid w:val="008B165B"/>
    <w:rsid w:val="008B2FF2"/>
    <w:rsid w:val="008B40D1"/>
    <w:rsid w:val="008B4BAB"/>
    <w:rsid w:val="008B4C80"/>
    <w:rsid w:val="008B74B9"/>
    <w:rsid w:val="008C0431"/>
    <w:rsid w:val="008C0C47"/>
    <w:rsid w:val="008C21A7"/>
    <w:rsid w:val="008C2F43"/>
    <w:rsid w:val="008C3F18"/>
    <w:rsid w:val="008C5391"/>
    <w:rsid w:val="008C5E5A"/>
    <w:rsid w:val="008C62FB"/>
    <w:rsid w:val="008D3082"/>
    <w:rsid w:val="008D4018"/>
    <w:rsid w:val="008D5928"/>
    <w:rsid w:val="008E5265"/>
    <w:rsid w:val="008E5DAF"/>
    <w:rsid w:val="008E707B"/>
    <w:rsid w:val="008E7A8F"/>
    <w:rsid w:val="008F08FB"/>
    <w:rsid w:val="008F1127"/>
    <w:rsid w:val="008F144A"/>
    <w:rsid w:val="008F1718"/>
    <w:rsid w:val="008F1ABA"/>
    <w:rsid w:val="008F2BCE"/>
    <w:rsid w:val="008F5328"/>
    <w:rsid w:val="008F67A5"/>
    <w:rsid w:val="008F6AF9"/>
    <w:rsid w:val="009006EF"/>
    <w:rsid w:val="00900D2C"/>
    <w:rsid w:val="00901159"/>
    <w:rsid w:val="0090251C"/>
    <w:rsid w:val="00904A90"/>
    <w:rsid w:val="00904BDF"/>
    <w:rsid w:val="00904C6E"/>
    <w:rsid w:val="00905E99"/>
    <w:rsid w:val="00911B93"/>
    <w:rsid w:val="00912402"/>
    <w:rsid w:val="00912ADD"/>
    <w:rsid w:val="00912CDD"/>
    <w:rsid w:val="0091331D"/>
    <w:rsid w:val="00913845"/>
    <w:rsid w:val="00914A99"/>
    <w:rsid w:val="00915163"/>
    <w:rsid w:val="009172C2"/>
    <w:rsid w:val="009177A6"/>
    <w:rsid w:val="00920AAA"/>
    <w:rsid w:val="00920F25"/>
    <w:rsid w:val="0092127E"/>
    <w:rsid w:val="00922AAD"/>
    <w:rsid w:val="00922D50"/>
    <w:rsid w:val="00923278"/>
    <w:rsid w:val="00925680"/>
    <w:rsid w:val="00925D39"/>
    <w:rsid w:val="00926FEF"/>
    <w:rsid w:val="009278F1"/>
    <w:rsid w:val="009317EB"/>
    <w:rsid w:val="0093196D"/>
    <w:rsid w:val="0093249A"/>
    <w:rsid w:val="0093252C"/>
    <w:rsid w:val="00932924"/>
    <w:rsid w:val="00933259"/>
    <w:rsid w:val="00934FEC"/>
    <w:rsid w:val="00935F47"/>
    <w:rsid w:val="009367E1"/>
    <w:rsid w:val="00936C9D"/>
    <w:rsid w:val="00936F0F"/>
    <w:rsid w:val="009374E8"/>
    <w:rsid w:val="0093757F"/>
    <w:rsid w:val="00940112"/>
    <w:rsid w:val="00941551"/>
    <w:rsid w:val="009417D4"/>
    <w:rsid w:val="009419B4"/>
    <w:rsid w:val="009447DC"/>
    <w:rsid w:val="0094483F"/>
    <w:rsid w:val="00945AC4"/>
    <w:rsid w:val="0094713B"/>
    <w:rsid w:val="00950701"/>
    <w:rsid w:val="00951C23"/>
    <w:rsid w:val="00953273"/>
    <w:rsid w:val="009537E3"/>
    <w:rsid w:val="009546C4"/>
    <w:rsid w:val="0095581E"/>
    <w:rsid w:val="00957590"/>
    <w:rsid w:val="0096018A"/>
    <w:rsid w:val="0096137D"/>
    <w:rsid w:val="009614B1"/>
    <w:rsid w:val="00961BC2"/>
    <w:rsid w:val="00962BE1"/>
    <w:rsid w:val="009649BE"/>
    <w:rsid w:val="00964AE6"/>
    <w:rsid w:val="00966CF0"/>
    <w:rsid w:val="00967834"/>
    <w:rsid w:val="00967F8A"/>
    <w:rsid w:val="0097053B"/>
    <w:rsid w:val="009718BE"/>
    <w:rsid w:val="00971B33"/>
    <w:rsid w:val="009728F8"/>
    <w:rsid w:val="00972F32"/>
    <w:rsid w:val="00976812"/>
    <w:rsid w:val="0097725B"/>
    <w:rsid w:val="009809F7"/>
    <w:rsid w:val="0098131D"/>
    <w:rsid w:val="00981408"/>
    <w:rsid w:val="00982B64"/>
    <w:rsid w:val="00986148"/>
    <w:rsid w:val="009878B3"/>
    <w:rsid w:val="00992E3A"/>
    <w:rsid w:val="009940B6"/>
    <w:rsid w:val="009964B5"/>
    <w:rsid w:val="00996A3D"/>
    <w:rsid w:val="009A058D"/>
    <w:rsid w:val="009A1751"/>
    <w:rsid w:val="009A19E3"/>
    <w:rsid w:val="009A295E"/>
    <w:rsid w:val="009A2EA0"/>
    <w:rsid w:val="009A3CD1"/>
    <w:rsid w:val="009A568F"/>
    <w:rsid w:val="009A5949"/>
    <w:rsid w:val="009A6337"/>
    <w:rsid w:val="009B0236"/>
    <w:rsid w:val="009B2686"/>
    <w:rsid w:val="009B2AF7"/>
    <w:rsid w:val="009B37BE"/>
    <w:rsid w:val="009B4949"/>
    <w:rsid w:val="009B549D"/>
    <w:rsid w:val="009B54CE"/>
    <w:rsid w:val="009B56E7"/>
    <w:rsid w:val="009B5D1B"/>
    <w:rsid w:val="009B653B"/>
    <w:rsid w:val="009B66AB"/>
    <w:rsid w:val="009B7249"/>
    <w:rsid w:val="009B769A"/>
    <w:rsid w:val="009C08CD"/>
    <w:rsid w:val="009C11CE"/>
    <w:rsid w:val="009C1A0E"/>
    <w:rsid w:val="009C2FE2"/>
    <w:rsid w:val="009C463F"/>
    <w:rsid w:val="009C4CD8"/>
    <w:rsid w:val="009C6372"/>
    <w:rsid w:val="009C7A93"/>
    <w:rsid w:val="009D0B08"/>
    <w:rsid w:val="009D10F8"/>
    <w:rsid w:val="009D2809"/>
    <w:rsid w:val="009D2F0E"/>
    <w:rsid w:val="009D36EE"/>
    <w:rsid w:val="009D3C3A"/>
    <w:rsid w:val="009D3CC6"/>
    <w:rsid w:val="009D470C"/>
    <w:rsid w:val="009D54EF"/>
    <w:rsid w:val="009D5715"/>
    <w:rsid w:val="009E07AE"/>
    <w:rsid w:val="009E0DAE"/>
    <w:rsid w:val="009E1479"/>
    <w:rsid w:val="009E196E"/>
    <w:rsid w:val="009E222E"/>
    <w:rsid w:val="009E336E"/>
    <w:rsid w:val="009E3851"/>
    <w:rsid w:val="009E58D2"/>
    <w:rsid w:val="009E5D24"/>
    <w:rsid w:val="009E7574"/>
    <w:rsid w:val="009F11E7"/>
    <w:rsid w:val="009F4C8D"/>
    <w:rsid w:val="009F4D74"/>
    <w:rsid w:val="009F5222"/>
    <w:rsid w:val="009F63E3"/>
    <w:rsid w:val="009F6474"/>
    <w:rsid w:val="009F6529"/>
    <w:rsid w:val="009F6EA8"/>
    <w:rsid w:val="009F749F"/>
    <w:rsid w:val="00A001D3"/>
    <w:rsid w:val="00A00A36"/>
    <w:rsid w:val="00A03400"/>
    <w:rsid w:val="00A035F6"/>
    <w:rsid w:val="00A03902"/>
    <w:rsid w:val="00A041BF"/>
    <w:rsid w:val="00A04483"/>
    <w:rsid w:val="00A0460F"/>
    <w:rsid w:val="00A05A44"/>
    <w:rsid w:val="00A05C91"/>
    <w:rsid w:val="00A069B6"/>
    <w:rsid w:val="00A10B86"/>
    <w:rsid w:val="00A124E1"/>
    <w:rsid w:val="00A12F73"/>
    <w:rsid w:val="00A228A7"/>
    <w:rsid w:val="00A2292D"/>
    <w:rsid w:val="00A246AB"/>
    <w:rsid w:val="00A273E8"/>
    <w:rsid w:val="00A30982"/>
    <w:rsid w:val="00A30CCB"/>
    <w:rsid w:val="00A314F7"/>
    <w:rsid w:val="00A315C1"/>
    <w:rsid w:val="00A3175C"/>
    <w:rsid w:val="00A32532"/>
    <w:rsid w:val="00A32FEC"/>
    <w:rsid w:val="00A3536B"/>
    <w:rsid w:val="00A35A17"/>
    <w:rsid w:val="00A36C96"/>
    <w:rsid w:val="00A37F5E"/>
    <w:rsid w:val="00A40297"/>
    <w:rsid w:val="00A404B4"/>
    <w:rsid w:val="00A41067"/>
    <w:rsid w:val="00A41092"/>
    <w:rsid w:val="00A4265B"/>
    <w:rsid w:val="00A428CA"/>
    <w:rsid w:val="00A472C3"/>
    <w:rsid w:val="00A4753F"/>
    <w:rsid w:val="00A5025B"/>
    <w:rsid w:val="00A51AB8"/>
    <w:rsid w:val="00A5225E"/>
    <w:rsid w:val="00A538F2"/>
    <w:rsid w:val="00A53F72"/>
    <w:rsid w:val="00A55349"/>
    <w:rsid w:val="00A559E7"/>
    <w:rsid w:val="00A5645F"/>
    <w:rsid w:val="00A5687B"/>
    <w:rsid w:val="00A57B1F"/>
    <w:rsid w:val="00A61798"/>
    <w:rsid w:val="00A61989"/>
    <w:rsid w:val="00A61BC2"/>
    <w:rsid w:val="00A63A67"/>
    <w:rsid w:val="00A650C4"/>
    <w:rsid w:val="00A653D9"/>
    <w:rsid w:val="00A66E6D"/>
    <w:rsid w:val="00A66FA1"/>
    <w:rsid w:val="00A67F5F"/>
    <w:rsid w:val="00A7034F"/>
    <w:rsid w:val="00A727BD"/>
    <w:rsid w:val="00A728CF"/>
    <w:rsid w:val="00A72EFD"/>
    <w:rsid w:val="00A72F7C"/>
    <w:rsid w:val="00A7564B"/>
    <w:rsid w:val="00A764C2"/>
    <w:rsid w:val="00A77BF4"/>
    <w:rsid w:val="00A81630"/>
    <w:rsid w:val="00A84B13"/>
    <w:rsid w:val="00A84D98"/>
    <w:rsid w:val="00A872B2"/>
    <w:rsid w:val="00A87DF1"/>
    <w:rsid w:val="00A91C03"/>
    <w:rsid w:val="00A91D96"/>
    <w:rsid w:val="00A924AC"/>
    <w:rsid w:val="00A9275B"/>
    <w:rsid w:val="00A9325D"/>
    <w:rsid w:val="00A937CD"/>
    <w:rsid w:val="00A94F42"/>
    <w:rsid w:val="00A95571"/>
    <w:rsid w:val="00A9630F"/>
    <w:rsid w:val="00A964DF"/>
    <w:rsid w:val="00AA3340"/>
    <w:rsid w:val="00AA40C9"/>
    <w:rsid w:val="00AA4657"/>
    <w:rsid w:val="00AA6070"/>
    <w:rsid w:val="00AA756B"/>
    <w:rsid w:val="00AB0E8C"/>
    <w:rsid w:val="00AB1F5B"/>
    <w:rsid w:val="00AB25BF"/>
    <w:rsid w:val="00AB425B"/>
    <w:rsid w:val="00AB51A3"/>
    <w:rsid w:val="00AB5C4B"/>
    <w:rsid w:val="00AB6208"/>
    <w:rsid w:val="00AC0CE9"/>
    <w:rsid w:val="00AC10AE"/>
    <w:rsid w:val="00AC1442"/>
    <w:rsid w:val="00AC22A6"/>
    <w:rsid w:val="00AC23BB"/>
    <w:rsid w:val="00AC27B6"/>
    <w:rsid w:val="00AC2CED"/>
    <w:rsid w:val="00AC35A4"/>
    <w:rsid w:val="00AC45FB"/>
    <w:rsid w:val="00AC5C3B"/>
    <w:rsid w:val="00AC65ED"/>
    <w:rsid w:val="00AC77AD"/>
    <w:rsid w:val="00AD11CB"/>
    <w:rsid w:val="00AD1B74"/>
    <w:rsid w:val="00AD4227"/>
    <w:rsid w:val="00AD46F3"/>
    <w:rsid w:val="00AD48CD"/>
    <w:rsid w:val="00AD52A4"/>
    <w:rsid w:val="00AD6BEF"/>
    <w:rsid w:val="00AD78C9"/>
    <w:rsid w:val="00AE183E"/>
    <w:rsid w:val="00AE2355"/>
    <w:rsid w:val="00AE3748"/>
    <w:rsid w:val="00AE4B6F"/>
    <w:rsid w:val="00AE676F"/>
    <w:rsid w:val="00AE7BD1"/>
    <w:rsid w:val="00AF166F"/>
    <w:rsid w:val="00AF2FAC"/>
    <w:rsid w:val="00AF444D"/>
    <w:rsid w:val="00AF51E6"/>
    <w:rsid w:val="00AF54B1"/>
    <w:rsid w:val="00AF63FF"/>
    <w:rsid w:val="00B00565"/>
    <w:rsid w:val="00B01398"/>
    <w:rsid w:val="00B01622"/>
    <w:rsid w:val="00B02818"/>
    <w:rsid w:val="00B03A36"/>
    <w:rsid w:val="00B0486A"/>
    <w:rsid w:val="00B07AA5"/>
    <w:rsid w:val="00B15479"/>
    <w:rsid w:val="00B15714"/>
    <w:rsid w:val="00B17881"/>
    <w:rsid w:val="00B17FDF"/>
    <w:rsid w:val="00B2270E"/>
    <w:rsid w:val="00B259EC"/>
    <w:rsid w:val="00B25AD8"/>
    <w:rsid w:val="00B26324"/>
    <w:rsid w:val="00B26ABC"/>
    <w:rsid w:val="00B274D8"/>
    <w:rsid w:val="00B30B72"/>
    <w:rsid w:val="00B30CAF"/>
    <w:rsid w:val="00B31281"/>
    <w:rsid w:val="00B32ABC"/>
    <w:rsid w:val="00B3304D"/>
    <w:rsid w:val="00B357B7"/>
    <w:rsid w:val="00B35AA6"/>
    <w:rsid w:val="00B3661F"/>
    <w:rsid w:val="00B36C27"/>
    <w:rsid w:val="00B37331"/>
    <w:rsid w:val="00B41762"/>
    <w:rsid w:val="00B42245"/>
    <w:rsid w:val="00B4372B"/>
    <w:rsid w:val="00B443A8"/>
    <w:rsid w:val="00B469CB"/>
    <w:rsid w:val="00B475F5"/>
    <w:rsid w:val="00B47818"/>
    <w:rsid w:val="00B479AD"/>
    <w:rsid w:val="00B51369"/>
    <w:rsid w:val="00B547C6"/>
    <w:rsid w:val="00B55448"/>
    <w:rsid w:val="00B56691"/>
    <w:rsid w:val="00B63AC3"/>
    <w:rsid w:val="00B64E8A"/>
    <w:rsid w:val="00B65872"/>
    <w:rsid w:val="00B6589A"/>
    <w:rsid w:val="00B66699"/>
    <w:rsid w:val="00B66C3A"/>
    <w:rsid w:val="00B670C3"/>
    <w:rsid w:val="00B670CE"/>
    <w:rsid w:val="00B67DF5"/>
    <w:rsid w:val="00B705E5"/>
    <w:rsid w:val="00B712FC"/>
    <w:rsid w:val="00B71B75"/>
    <w:rsid w:val="00B72094"/>
    <w:rsid w:val="00B74520"/>
    <w:rsid w:val="00B751A3"/>
    <w:rsid w:val="00B76668"/>
    <w:rsid w:val="00B76F4B"/>
    <w:rsid w:val="00B8205C"/>
    <w:rsid w:val="00B82C1C"/>
    <w:rsid w:val="00B83F8B"/>
    <w:rsid w:val="00B84FC9"/>
    <w:rsid w:val="00B86BBD"/>
    <w:rsid w:val="00B8716F"/>
    <w:rsid w:val="00B87B2E"/>
    <w:rsid w:val="00B903BC"/>
    <w:rsid w:val="00B9225B"/>
    <w:rsid w:val="00B93639"/>
    <w:rsid w:val="00B94B83"/>
    <w:rsid w:val="00B94DD8"/>
    <w:rsid w:val="00B95E88"/>
    <w:rsid w:val="00B970DC"/>
    <w:rsid w:val="00B97879"/>
    <w:rsid w:val="00BA01C7"/>
    <w:rsid w:val="00BA11C4"/>
    <w:rsid w:val="00BA2183"/>
    <w:rsid w:val="00BA35A5"/>
    <w:rsid w:val="00BA636D"/>
    <w:rsid w:val="00BA6BBB"/>
    <w:rsid w:val="00BA7C90"/>
    <w:rsid w:val="00BB0798"/>
    <w:rsid w:val="00BB1454"/>
    <w:rsid w:val="00BB753C"/>
    <w:rsid w:val="00BC1281"/>
    <w:rsid w:val="00BC1305"/>
    <w:rsid w:val="00BC2286"/>
    <w:rsid w:val="00BC2B36"/>
    <w:rsid w:val="00BC2B5B"/>
    <w:rsid w:val="00BC7A55"/>
    <w:rsid w:val="00BD06F5"/>
    <w:rsid w:val="00BD0C4C"/>
    <w:rsid w:val="00BD0CB4"/>
    <w:rsid w:val="00BD1AEE"/>
    <w:rsid w:val="00BD28AF"/>
    <w:rsid w:val="00BD2AC2"/>
    <w:rsid w:val="00BD402E"/>
    <w:rsid w:val="00BD406C"/>
    <w:rsid w:val="00BD4535"/>
    <w:rsid w:val="00BD5687"/>
    <w:rsid w:val="00BD5985"/>
    <w:rsid w:val="00BD5989"/>
    <w:rsid w:val="00BD61AC"/>
    <w:rsid w:val="00BD7211"/>
    <w:rsid w:val="00BD7C4C"/>
    <w:rsid w:val="00BE0245"/>
    <w:rsid w:val="00BE10D3"/>
    <w:rsid w:val="00BE1107"/>
    <w:rsid w:val="00BE12E0"/>
    <w:rsid w:val="00BE16D6"/>
    <w:rsid w:val="00BE19A5"/>
    <w:rsid w:val="00BE312C"/>
    <w:rsid w:val="00BE3784"/>
    <w:rsid w:val="00BE442F"/>
    <w:rsid w:val="00BE7747"/>
    <w:rsid w:val="00BE7B21"/>
    <w:rsid w:val="00BF03D4"/>
    <w:rsid w:val="00BF072E"/>
    <w:rsid w:val="00BF0A76"/>
    <w:rsid w:val="00BF1544"/>
    <w:rsid w:val="00BF2A0D"/>
    <w:rsid w:val="00BF34BF"/>
    <w:rsid w:val="00BF3800"/>
    <w:rsid w:val="00BF4D42"/>
    <w:rsid w:val="00BF59B5"/>
    <w:rsid w:val="00BF6470"/>
    <w:rsid w:val="00BF67EE"/>
    <w:rsid w:val="00C005FE"/>
    <w:rsid w:val="00C024C7"/>
    <w:rsid w:val="00C037DD"/>
    <w:rsid w:val="00C04593"/>
    <w:rsid w:val="00C046CE"/>
    <w:rsid w:val="00C046DF"/>
    <w:rsid w:val="00C05907"/>
    <w:rsid w:val="00C07559"/>
    <w:rsid w:val="00C11433"/>
    <w:rsid w:val="00C118EE"/>
    <w:rsid w:val="00C13227"/>
    <w:rsid w:val="00C132D7"/>
    <w:rsid w:val="00C13330"/>
    <w:rsid w:val="00C14BEA"/>
    <w:rsid w:val="00C14F38"/>
    <w:rsid w:val="00C179B4"/>
    <w:rsid w:val="00C21292"/>
    <w:rsid w:val="00C23428"/>
    <w:rsid w:val="00C23D9B"/>
    <w:rsid w:val="00C24214"/>
    <w:rsid w:val="00C24E42"/>
    <w:rsid w:val="00C2559F"/>
    <w:rsid w:val="00C26652"/>
    <w:rsid w:val="00C26820"/>
    <w:rsid w:val="00C26D83"/>
    <w:rsid w:val="00C26DCC"/>
    <w:rsid w:val="00C26E50"/>
    <w:rsid w:val="00C27169"/>
    <w:rsid w:val="00C27910"/>
    <w:rsid w:val="00C30023"/>
    <w:rsid w:val="00C30B72"/>
    <w:rsid w:val="00C30E28"/>
    <w:rsid w:val="00C30F29"/>
    <w:rsid w:val="00C31173"/>
    <w:rsid w:val="00C31DF6"/>
    <w:rsid w:val="00C3321F"/>
    <w:rsid w:val="00C3368C"/>
    <w:rsid w:val="00C33F0F"/>
    <w:rsid w:val="00C358E4"/>
    <w:rsid w:val="00C41388"/>
    <w:rsid w:val="00C45DFE"/>
    <w:rsid w:val="00C47B68"/>
    <w:rsid w:val="00C51113"/>
    <w:rsid w:val="00C51CF1"/>
    <w:rsid w:val="00C5313C"/>
    <w:rsid w:val="00C53145"/>
    <w:rsid w:val="00C53BBA"/>
    <w:rsid w:val="00C54DB1"/>
    <w:rsid w:val="00C605D8"/>
    <w:rsid w:val="00C60B54"/>
    <w:rsid w:val="00C619B2"/>
    <w:rsid w:val="00C61B2A"/>
    <w:rsid w:val="00C62229"/>
    <w:rsid w:val="00C62D5C"/>
    <w:rsid w:val="00C63340"/>
    <w:rsid w:val="00C63C1A"/>
    <w:rsid w:val="00C64307"/>
    <w:rsid w:val="00C64AA7"/>
    <w:rsid w:val="00C65714"/>
    <w:rsid w:val="00C65FFA"/>
    <w:rsid w:val="00C66628"/>
    <w:rsid w:val="00C667ED"/>
    <w:rsid w:val="00C679CA"/>
    <w:rsid w:val="00C67EA6"/>
    <w:rsid w:val="00C700AD"/>
    <w:rsid w:val="00C71990"/>
    <w:rsid w:val="00C71F1D"/>
    <w:rsid w:val="00C72616"/>
    <w:rsid w:val="00C73A58"/>
    <w:rsid w:val="00C73EC5"/>
    <w:rsid w:val="00C74427"/>
    <w:rsid w:val="00C74A26"/>
    <w:rsid w:val="00C760F3"/>
    <w:rsid w:val="00C767BB"/>
    <w:rsid w:val="00C769C7"/>
    <w:rsid w:val="00C77C16"/>
    <w:rsid w:val="00C819D5"/>
    <w:rsid w:val="00C821E4"/>
    <w:rsid w:val="00C840D7"/>
    <w:rsid w:val="00C8494D"/>
    <w:rsid w:val="00C8540E"/>
    <w:rsid w:val="00C86A99"/>
    <w:rsid w:val="00C86D6E"/>
    <w:rsid w:val="00C875C1"/>
    <w:rsid w:val="00C87CFC"/>
    <w:rsid w:val="00C902B1"/>
    <w:rsid w:val="00C91433"/>
    <w:rsid w:val="00C923AB"/>
    <w:rsid w:val="00C92489"/>
    <w:rsid w:val="00C92D5F"/>
    <w:rsid w:val="00C93946"/>
    <w:rsid w:val="00C942D7"/>
    <w:rsid w:val="00C95AA4"/>
    <w:rsid w:val="00C9636F"/>
    <w:rsid w:val="00C97936"/>
    <w:rsid w:val="00CA02EC"/>
    <w:rsid w:val="00CA12BD"/>
    <w:rsid w:val="00CA16BF"/>
    <w:rsid w:val="00CA2159"/>
    <w:rsid w:val="00CA3B41"/>
    <w:rsid w:val="00CA4B57"/>
    <w:rsid w:val="00CA4C14"/>
    <w:rsid w:val="00CA58B7"/>
    <w:rsid w:val="00CA6DDE"/>
    <w:rsid w:val="00CB2359"/>
    <w:rsid w:val="00CB25A0"/>
    <w:rsid w:val="00CB2C89"/>
    <w:rsid w:val="00CB352A"/>
    <w:rsid w:val="00CB3C30"/>
    <w:rsid w:val="00CB56B5"/>
    <w:rsid w:val="00CB5C24"/>
    <w:rsid w:val="00CB5E41"/>
    <w:rsid w:val="00CC10CA"/>
    <w:rsid w:val="00CC2DEF"/>
    <w:rsid w:val="00CC3883"/>
    <w:rsid w:val="00CC5F87"/>
    <w:rsid w:val="00CC7505"/>
    <w:rsid w:val="00CD0118"/>
    <w:rsid w:val="00CD01AF"/>
    <w:rsid w:val="00CD0642"/>
    <w:rsid w:val="00CD244B"/>
    <w:rsid w:val="00CD2461"/>
    <w:rsid w:val="00CD3288"/>
    <w:rsid w:val="00CD3C3B"/>
    <w:rsid w:val="00CD434A"/>
    <w:rsid w:val="00CD45D1"/>
    <w:rsid w:val="00CD4DD0"/>
    <w:rsid w:val="00CD50F2"/>
    <w:rsid w:val="00CD530B"/>
    <w:rsid w:val="00CD5E9E"/>
    <w:rsid w:val="00CD6235"/>
    <w:rsid w:val="00CD6756"/>
    <w:rsid w:val="00CE37F0"/>
    <w:rsid w:val="00CE3F1C"/>
    <w:rsid w:val="00CE4254"/>
    <w:rsid w:val="00CE4403"/>
    <w:rsid w:val="00CE4D99"/>
    <w:rsid w:val="00CE6BF1"/>
    <w:rsid w:val="00CE73A1"/>
    <w:rsid w:val="00CE7772"/>
    <w:rsid w:val="00CF083F"/>
    <w:rsid w:val="00CF0E97"/>
    <w:rsid w:val="00CF29A6"/>
    <w:rsid w:val="00CF34FC"/>
    <w:rsid w:val="00CF4BDD"/>
    <w:rsid w:val="00CF4E23"/>
    <w:rsid w:val="00CF65CE"/>
    <w:rsid w:val="00CF686A"/>
    <w:rsid w:val="00D00E8F"/>
    <w:rsid w:val="00D02EEB"/>
    <w:rsid w:val="00D03927"/>
    <w:rsid w:val="00D03A29"/>
    <w:rsid w:val="00D03E7D"/>
    <w:rsid w:val="00D0406E"/>
    <w:rsid w:val="00D0601D"/>
    <w:rsid w:val="00D1141E"/>
    <w:rsid w:val="00D126A7"/>
    <w:rsid w:val="00D1298A"/>
    <w:rsid w:val="00D12A0B"/>
    <w:rsid w:val="00D13881"/>
    <w:rsid w:val="00D16B94"/>
    <w:rsid w:val="00D17741"/>
    <w:rsid w:val="00D20D90"/>
    <w:rsid w:val="00D214A3"/>
    <w:rsid w:val="00D227B8"/>
    <w:rsid w:val="00D235F8"/>
    <w:rsid w:val="00D250B5"/>
    <w:rsid w:val="00D2537C"/>
    <w:rsid w:val="00D25ED9"/>
    <w:rsid w:val="00D26F2A"/>
    <w:rsid w:val="00D2718B"/>
    <w:rsid w:val="00D27461"/>
    <w:rsid w:val="00D30F05"/>
    <w:rsid w:val="00D32402"/>
    <w:rsid w:val="00D32944"/>
    <w:rsid w:val="00D3432A"/>
    <w:rsid w:val="00D34430"/>
    <w:rsid w:val="00D36C0E"/>
    <w:rsid w:val="00D36DB3"/>
    <w:rsid w:val="00D37FE5"/>
    <w:rsid w:val="00D423BD"/>
    <w:rsid w:val="00D437EE"/>
    <w:rsid w:val="00D43B37"/>
    <w:rsid w:val="00D44BE9"/>
    <w:rsid w:val="00D4613D"/>
    <w:rsid w:val="00D46845"/>
    <w:rsid w:val="00D47CF8"/>
    <w:rsid w:val="00D52432"/>
    <w:rsid w:val="00D5247A"/>
    <w:rsid w:val="00D53902"/>
    <w:rsid w:val="00D53DA7"/>
    <w:rsid w:val="00D55903"/>
    <w:rsid w:val="00D571A0"/>
    <w:rsid w:val="00D5750D"/>
    <w:rsid w:val="00D602BD"/>
    <w:rsid w:val="00D607EA"/>
    <w:rsid w:val="00D60DCC"/>
    <w:rsid w:val="00D615E1"/>
    <w:rsid w:val="00D6197D"/>
    <w:rsid w:val="00D61BE0"/>
    <w:rsid w:val="00D61ED5"/>
    <w:rsid w:val="00D62C4A"/>
    <w:rsid w:val="00D62C7B"/>
    <w:rsid w:val="00D63669"/>
    <w:rsid w:val="00D64242"/>
    <w:rsid w:val="00D64931"/>
    <w:rsid w:val="00D658BC"/>
    <w:rsid w:val="00D67137"/>
    <w:rsid w:val="00D675B3"/>
    <w:rsid w:val="00D679F7"/>
    <w:rsid w:val="00D67D20"/>
    <w:rsid w:val="00D706D5"/>
    <w:rsid w:val="00D70B6E"/>
    <w:rsid w:val="00D71323"/>
    <w:rsid w:val="00D74335"/>
    <w:rsid w:val="00D74C74"/>
    <w:rsid w:val="00D766E1"/>
    <w:rsid w:val="00D77CD7"/>
    <w:rsid w:val="00D80A51"/>
    <w:rsid w:val="00D81171"/>
    <w:rsid w:val="00D823CD"/>
    <w:rsid w:val="00D82994"/>
    <w:rsid w:val="00D8391F"/>
    <w:rsid w:val="00D84C58"/>
    <w:rsid w:val="00D8568B"/>
    <w:rsid w:val="00D860F4"/>
    <w:rsid w:val="00D86387"/>
    <w:rsid w:val="00D8649A"/>
    <w:rsid w:val="00D86E2F"/>
    <w:rsid w:val="00D93211"/>
    <w:rsid w:val="00D94A1D"/>
    <w:rsid w:val="00D973D0"/>
    <w:rsid w:val="00DA1227"/>
    <w:rsid w:val="00DA2E33"/>
    <w:rsid w:val="00DA5063"/>
    <w:rsid w:val="00DA5DDF"/>
    <w:rsid w:val="00DA6108"/>
    <w:rsid w:val="00DA7C94"/>
    <w:rsid w:val="00DB0C53"/>
    <w:rsid w:val="00DB2639"/>
    <w:rsid w:val="00DB27CE"/>
    <w:rsid w:val="00DB2EF6"/>
    <w:rsid w:val="00DB32BF"/>
    <w:rsid w:val="00DB4082"/>
    <w:rsid w:val="00DB49D6"/>
    <w:rsid w:val="00DB4A82"/>
    <w:rsid w:val="00DB4CEC"/>
    <w:rsid w:val="00DB54E3"/>
    <w:rsid w:val="00DB5C5B"/>
    <w:rsid w:val="00DB5EAF"/>
    <w:rsid w:val="00DB67E1"/>
    <w:rsid w:val="00DC11F4"/>
    <w:rsid w:val="00DC3443"/>
    <w:rsid w:val="00DC487A"/>
    <w:rsid w:val="00DC4C4D"/>
    <w:rsid w:val="00DC7978"/>
    <w:rsid w:val="00DD0553"/>
    <w:rsid w:val="00DD1381"/>
    <w:rsid w:val="00DD2E27"/>
    <w:rsid w:val="00DD60CE"/>
    <w:rsid w:val="00DE1978"/>
    <w:rsid w:val="00DE2277"/>
    <w:rsid w:val="00DE245F"/>
    <w:rsid w:val="00DE33D8"/>
    <w:rsid w:val="00DE3C6C"/>
    <w:rsid w:val="00DE3FE6"/>
    <w:rsid w:val="00DE5499"/>
    <w:rsid w:val="00DE61A5"/>
    <w:rsid w:val="00DE766C"/>
    <w:rsid w:val="00DF3525"/>
    <w:rsid w:val="00DF4342"/>
    <w:rsid w:val="00DF6082"/>
    <w:rsid w:val="00E00154"/>
    <w:rsid w:val="00E006C7"/>
    <w:rsid w:val="00E00E4C"/>
    <w:rsid w:val="00E00F2C"/>
    <w:rsid w:val="00E032AC"/>
    <w:rsid w:val="00E03419"/>
    <w:rsid w:val="00E04113"/>
    <w:rsid w:val="00E04247"/>
    <w:rsid w:val="00E04C65"/>
    <w:rsid w:val="00E04DD0"/>
    <w:rsid w:val="00E05042"/>
    <w:rsid w:val="00E0622F"/>
    <w:rsid w:val="00E06C1D"/>
    <w:rsid w:val="00E06E41"/>
    <w:rsid w:val="00E07490"/>
    <w:rsid w:val="00E107D7"/>
    <w:rsid w:val="00E13666"/>
    <w:rsid w:val="00E13935"/>
    <w:rsid w:val="00E21361"/>
    <w:rsid w:val="00E22BA6"/>
    <w:rsid w:val="00E24136"/>
    <w:rsid w:val="00E24387"/>
    <w:rsid w:val="00E24B55"/>
    <w:rsid w:val="00E2799A"/>
    <w:rsid w:val="00E27E9F"/>
    <w:rsid w:val="00E300CD"/>
    <w:rsid w:val="00E312BF"/>
    <w:rsid w:val="00E3143D"/>
    <w:rsid w:val="00E314DC"/>
    <w:rsid w:val="00E32ABC"/>
    <w:rsid w:val="00E33819"/>
    <w:rsid w:val="00E343B7"/>
    <w:rsid w:val="00E4188E"/>
    <w:rsid w:val="00E425AE"/>
    <w:rsid w:val="00E45738"/>
    <w:rsid w:val="00E4579A"/>
    <w:rsid w:val="00E470FE"/>
    <w:rsid w:val="00E47F01"/>
    <w:rsid w:val="00E5126A"/>
    <w:rsid w:val="00E52B36"/>
    <w:rsid w:val="00E54334"/>
    <w:rsid w:val="00E60EE4"/>
    <w:rsid w:val="00E6123A"/>
    <w:rsid w:val="00E67477"/>
    <w:rsid w:val="00E70046"/>
    <w:rsid w:val="00E72CD3"/>
    <w:rsid w:val="00E72FE0"/>
    <w:rsid w:val="00E73FEA"/>
    <w:rsid w:val="00E778D0"/>
    <w:rsid w:val="00E77C65"/>
    <w:rsid w:val="00E80A5B"/>
    <w:rsid w:val="00E84493"/>
    <w:rsid w:val="00E86B10"/>
    <w:rsid w:val="00E91739"/>
    <w:rsid w:val="00E922FD"/>
    <w:rsid w:val="00E93AF1"/>
    <w:rsid w:val="00E93B4A"/>
    <w:rsid w:val="00E943C2"/>
    <w:rsid w:val="00E94D8C"/>
    <w:rsid w:val="00E94F61"/>
    <w:rsid w:val="00E956D3"/>
    <w:rsid w:val="00E97966"/>
    <w:rsid w:val="00EA0205"/>
    <w:rsid w:val="00EA127A"/>
    <w:rsid w:val="00EA2077"/>
    <w:rsid w:val="00EA217C"/>
    <w:rsid w:val="00EA2D64"/>
    <w:rsid w:val="00EA32A2"/>
    <w:rsid w:val="00EA6316"/>
    <w:rsid w:val="00EB1303"/>
    <w:rsid w:val="00EB1CB5"/>
    <w:rsid w:val="00EB36D7"/>
    <w:rsid w:val="00EB56E9"/>
    <w:rsid w:val="00EB596F"/>
    <w:rsid w:val="00EB5BF2"/>
    <w:rsid w:val="00EB60E1"/>
    <w:rsid w:val="00EB716D"/>
    <w:rsid w:val="00EC0422"/>
    <w:rsid w:val="00EC0625"/>
    <w:rsid w:val="00EC1E0D"/>
    <w:rsid w:val="00EC412F"/>
    <w:rsid w:val="00EC4EDF"/>
    <w:rsid w:val="00EC59F1"/>
    <w:rsid w:val="00EC68A8"/>
    <w:rsid w:val="00EC68C3"/>
    <w:rsid w:val="00EC6DBD"/>
    <w:rsid w:val="00EC7E07"/>
    <w:rsid w:val="00ED0AFF"/>
    <w:rsid w:val="00ED2C4A"/>
    <w:rsid w:val="00ED6728"/>
    <w:rsid w:val="00EE064C"/>
    <w:rsid w:val="00EE072C"/>
    <w:rsid w:val="00EE0B02"/>
    <w:rsid w:val="00EE0D32"/>
    <w:rsid w:val="00EE103F"/>
    <w:rsid w:val="00EE1471"/>
    <w:rsid w:val="00EE2019"/>
    <w:rsid w:val="00EE2613"/>
    <w:rsid w:val="00EE3B43"/>
    <w:rsid w:val="00EF0815"/>
    <w:rsid w:val="00EF0FA7"/>
    <w:rsid w:val="00EF1218"/>
    <w:rsid w:val="00EF1A96"/>
    <w:rsid w:val="00EF2297"/>
    <w:rsid w:val="00EF3932"/>
    <w:rsid w:val="00EF3BDC"/>
    <w:rsid w:val="00EF4AF6"/>
    <w:rsid w:val="00EF5BDA"/>
    <w:rsid w:val="00EF6042"/>
    <w:rsid w:val="00EF63C7"/>
    <w:rsid w:val="00EF663B"/>
    <w:rsid w:val="00EF6847"/>
    <w:rsid w:val="00EF6E63"/>
    <w:rsid w:val="00F004AE"/>
    <w:rsid w:val="00F02D53"/>
    <w:rsid w:val="00F0446C"/>
    <w:rsid w:val="00F06AD1"/>
    <w:rsid w:val="00F072EB"/>
    <w:rsid w:val="00F11457"/>
    <w:rsid w:val="00F120CC"/>
    <w:rsid w:val="00F12B66"/>
    <w:rsid w:val="00F12E8F"/>
    <w:rsid w:val="00F13818"/>
    <w:rsid w:val="00F13F15"/>
    <w:rsid w:val="00F1473F"/>
    <w:rsid w:val="00F16279"/>
    <w:rsid w:val="00F21DD3"/>
    <w:rsid w:val="00F221FF"/>
    <w:rsid w:val="00F22BC2"/>
    <w:rsid w:val="00F250AD"/>
    <w:rsid w:val="00F26A2A"/>
    <w:rsid w:val="00F279AC"/>
    <w:rsid w:val="00F27A1F"/>
    <w:rsid w:val="00F27C91"/>
    <w:rsid w:val="00F31120"/>
    <w:rsid w:val="00F31342"/>
    <w:rsid w:val="00F31FE4"/>
    <w:rsid w:val="00F3298C"/>
    <w:rsid w:val="00F3379D"/>
    <w:rsid w:val="00F33ADB"/>
    <w:rsid w:val="00F34170"/>
    <w:rsid w:val="00F34FA6"/>
    <w:rsid w:val="00F3712A"/>
    <w:rsid w:val="00F3739E"/>
    <w:rsid w:val="00F4017F"/>
    <w:rsid w:val="00F43F14"/>
    <w:rsid w:val="00F45EDE"/>
    <w:rsid w:val="00F465F4"/>
    <w:rsid w:val="00F5142A"/>
    <w:rsid w:val="00F52A41"/>
    <w:rsid w:val="00F54886"/>
    <w:rsid w:val="00F55153"/>
    <w:rsid w:val="00F56FED"/>
    <w:rsid w:val="00F57710"/>
    <w:rsid w:val="00F605F3"/>
    <w:rsid w:val="00F61294"/>
    <w:rsid w:val="00F61A1C"/>
    <w:rsid w:val="00F61C71"/>
    <w:rsid w:val="00F62B68"/>
    <w:rsid w:val="00F65351"/>
    <w:rsid w:val="00F66168"/>
    <w:rsid w:val="00F6659B"/>
    <w:rsid w:val="00F66929"/>
    <w:rsid w:val="00F70249"/>
    <w:rsid w:val="00F70866"/>
    <w:rsid w:val="00F7123A"/>
    <w:rsid w:val="00F71435"/>
    <w:rsid w:val="00F728A3"/>
    <w:rsid w:val="00F74C3E"/>
    <w:rsid w:val="00F74FC7"/>
    <w:rsid w:val="00F756A6"/>
    <w:rsid w:val="00F75DE9"/>
    <w:rsid w:val="00F77759"/>
    <w:rsid w:val="00F77D4F"/>
    <w:rsid w:val="00F80A89"/>
    <w:rsid w:val="00F80E4B"/>
    <w:rsid w:val="00F81BE9"/>
    <w:rsid w:val="00F820B1"/>
    <w:rsid w:val="00F837FD"/>
    <w:rsid w:val="00F84DD4"/>
    <w:rsid w:val="00F85C6E"/>
    <w:rsid w:val="00F85C9A"/>
    <w:rsid w:val="00F873B1"/>
    <w:rsid w:val="00F92C8C"/>
    <w:rsid w:val="00F93041"/>
    <w:rsid w:val="00F97129"/>
    <w:rsid w:val="00F97A61"/>
    <w:rsid w:val="00F97E18"/>
    <w:rsid w:val="00FA0300"/>
    <w:rsid w:val="00FA0638"/>
    <w:rsid w:val="00FA08FF"/>
    <w:rsid w:val="00FA099C"/>
    <w:rsid w:val="00FA141E"/>
    <w:rsid w:val="00FA245B"/>
    <w:rsid w:val="00FA24DE"/>
    <w:rsid w:val="00FA31A1"/>
    <w:rsid w:val="00FA36E0"/>
    <w:rsid w:val="00FA4719"/>
    <w:rsid w:val="00FA4CF2"/>
    <w:rsid w:val="00FA551E"/>
    <w:rsid w:val="00FA5A7A"/>
    <w:rsid w:val="00FA6497"/>
    <w:rsid w:val="00FB0B2C"/>
    <w:rsid w:val="00FB3EF9"/>
    <w:rsid w:val="00FB4572"/>
    <w:rsid w:val="00FB4C2B"/>
    <w:rsid w:val="00FB500A"/>
    <w:rsid w:val="00FB690E"/>
    <w:rsid w:val="00FB7C84"/>
    <w:rsid w:val="00FB7E70"/>
    <w:rsid w:val="00FC3AA8"/>
    <w:rsid w:val="00FC5822"/>
    <w:rsid w:val="00FC6638"/>
    <w:rsid w:val="00FD0173"/>
    <w:rsid w:val="00FD058F"/>
    <w:rsid w:val="00FD0EF8"/>
    <w:rsid w:val="00FD2876"/>
    <w:rsid w:val="00FD33DF"/>
    <w:rsid w:val="00FD3872"/>
    <w:rsid w:val="00FD4C6C"/>
    <w:rsid w:val="00FD51A5"/>
    <w:rsid w:val="00FD6ABE"/>
    <w:rsid w:val="00FD6EBC"/>
    <w:rsid w:val="00FD74EF"/>
    <w:rsid w:val="00FD7D9D"/>
    <w:rsid w:val="00FE3970"/>
    <w:rsid w:val="00FE3E5A"/>
    <w:rsid w:val="00FE6A94"/>
    <w:rsid w:val="00FE7134"/>
    <w:rsid w:val="00FE7A71"/>
    <w:rsid w:val="00FF0BA6"/>
    <w:rsid w:val="00FF0E65"/>
    <w:rsid w:val="00FF2AB0"/>
    <w:rsid w:val="00FF3E3F"/>
    <w:rsid w:val="00FF53A6"/>
    <w:rsid w:val="00FF5CF6"/>
    <w:rsid w:val="00FF5D06"/>
    <w:rsid w:val="00FF7512"/>
    <w:rsid w:val="6F9253B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39" w:semiHidden="0" w:name="toc 1"/>
    <w:lsdException w:unhideWhenUsed="0" w:uiPriority="3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nhideWhenUsed="0" w:uiPriority="99"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99" w:semiHidden="0" w:name="Table Grid"/>
    <w:lsdException w:uiPriority="99" w:name="Table Theme" w:locked="1"/>
    <w:lsdException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99"/>
    <w:pPr>
      <w:keepNext/>
      <w:keepLines/>
      <w:numPr>
        <w:ilvl w:val="0"/>
        <w:numId w:val="1"/>
      </w:numPr>
      <w:spacing w:before="200" w:after="160" w:line="360" w:lineRule="auto"/>
      <w:jc w:val="center"/>
      <w:outlineLvl w:val="0"/>
    </w:pPr>
    <w:rPr>
      <w:rFonts w:eastAsia="黑体"/>
      <w:b/>
      <w:bCs/>
      <w:kern w:val="44"/>
      <w:sz w:val="32"/>
      <w:szCs w:val="44"/>
    </w:rPr>
  </w:style>
  <w:style w:type="paragraph" w:styleId="3">
    <w:name w:val="heading 2"/>
    <w:basedOn w:val="1"/>
    <w:next w:val="1"/>
    <w:link w:val="44"/>
    <w:qFormat/>
    <w:uiPriority w:val="99"/>
    <w:pPr>
      <w:keepNext/>
      <w:keepLines/>
      <w:numPr>
        <w:ilvl w:val="1"/>
        <w:numId w:val="1"/>
      </w:numPr>
      <w:spacing w:before="260" w:after="260" w:line="360" w:lineRule="auto"/>
      <w:jc w:val="center"/>
      <w:outlineLvl w:val="1"/>
    </w:pPr>
    <w:rPr>
      <w:rFonts w:eastAsia="黑体"/>
      <w:bCs/>
      <w:sz w:val="28"/>
      <w:szCs w:val="32"/>
    </w:rPr>
  </w:style>
  <w:style w:type="paragraph" w:styleId="4">
    <w:name w:val="heading 3"/>
    <w:basedOn w:val="1"/>
    <w:next w:val="1"/>
    <w:link w:val="45"/>
    <w:qFormat/>
    <w:uiPriority w:val="99"/>
    <w:pPr>
      <w:keepLines/>
      <w:numPr>
        <w:ilvl w:val="2"/>
        <w:numId w:val="1"/>
      </w:numPr>
      <w:spacing w:line="360" w:lineRule="auto"/>
      <w:outlineLvl w:val="2"/>
    </w:pPr>
    <w:rPr>
      <w:bCs/>
      <w:sz w:val="24"/>
      <w:szCs w:val="32"/>
    </w:rPr>
  </w:style>
  <w:style w:type="paragraph" w:styleId="5">
    <w:name w:val="heading 4"/>
    <w:basedOn w:val="1"/>
    <w:next w:val="1"/>
    <w:link w:val="68"/>
    <w:qFormat/>
    <w:uiPriority w:val="99"/>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47"/>
    <w:qFormat/>
    <w:uiPriority w:val="9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8"/>
    <w:qFormat/>
    <w:uiPriority w:val="99"/>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49"/>
    <w:qFormat/>
    <w:uiPriority w:val="99"/>
    <w:pPr>
      <w:keepNext/>
      <w:keepLines/>
      <w:numPr>
        <w:ilvl w:val="6"/>
        <w:numId w:val="1"/>
      </w:numPr>
      <w:spacing w:before="240" w:after="64" w:line="320" w:lineRule="auto"/>
      <w:outlineLvl w:val="6"/>
    </w:pPr>
    <w:rPr>
      <w:b/>
      <w:bCs/>
      <w:sz w:val="24"/>
    </w:rPr>
  </w:style>
  <w:style w:type="paragraph" w:styleId="9">
    <w:name w:val="heading 8"/>
    <w:basedOn w:val="1"/>
    <w:next w:val="1"/>
    <w:link w:val="50"/>
    <w:qFormat/>
    <w:uiPriority w:val="99"/>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51"/>
    <w:qFormat/>
    <w:uiPriority w:val="99"/>
    <w:pPr>
      <w:keepNext/>
      <w:keepLines/>
      <w:numPr>
        <w:ilvl w:val="8"/>
        <w:numId w:val="1"/>
      </w:numPr>
      <w:spacing w:before="240" w:after="64" w:line="320" w:lineRule="auto"/>
      <w:outlineLvl w:val="8"/>
    </w:pPr>
    <w:rPr>
      <w:rFonts w:ascii="Cambria" w:hAnsi="Cambria"/>
      <w:szCs w:val="21"/>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11">
    <w:name w:val="toc 7"/>
    <w:basedOn w:val="1"/>
    <w:next w:val="1"/>
    <w:uiPriority w:val="99"/>
    <w:pPr>
      <w:ind w:left="1260"/>
      <w:jc w:val="left"/>
    </w:pPr>
    <w:rPr>
      <w:rFonts w:ascii="Calibri" w:hAnsi="Calibri" w:cs="Calibri"/>
      <w:sz w:val="18"/>
      <w:szCs w:val="18"/>
    </w:rPr>
  </w:style>
  <w:style w:type="paragraph" w:styleId="12">
    <w:name w:val="caption"/>
    <w:basedOn w:val="1"/>
    <w:next w:val="1"/>
    <w:qFormat/>
    <w:uiPriority w:val="99"/>
    <w:pPr>
      <w:jc w:val="center"/>
    </w:pPr>
    <w:rPr>
      <w:rFonts w:ascii="Cambria" w:hAnsi="Cambria" w:eastAsia="黑体"/>
      <w:sz w:val="24"/>
      <w:szCs w:val="20"/>
    </w:rPr>
  </w:style>
  <w:style w:type="paragraph" w:styleId="13">
    <w:name w:val="Document Map"/>
    <w:basedOn w:val="1"/>
    <w:link w:val="65"/>
    <w:semiHidden/>
    <w:uiPriority w:val="99"/>
    <w:rPr>
      <w:rFonts w:ascii="宋体"/>
      <w:sz w:val="18"/>
      <w:szCs w:val="18"/>
    </w:rPr>
  </w:style>
  <w:style w:type="paragraph" w:styleId="14">
    <w:name w:val="toa heading"/>
    <w:basedOn w:val="1"/>
    <w:next w:val="1"/>
    <w:semiHidden/>
    <w:uiPriority w:val="99"/>
    <w:pPr>
      <w:spacing w:before="120"/>
    </w:pPr>
    <w:rPr>
      <w:rFonts w:ascii="Arial" w:hAnsi="Arial" w:cs="Arial"/>
      <w:sz w:val="24"/>
    </w:rPr>
  </w:style>
  <w:style w:type="paragraph" w:styleId="15">
    <w:name w:val="annotation text"/>
    <w:basedOn w:val="1"/>
    <w:link w:val="76"/>
    <w:semiHidden/>
    <w:uiPriority w:val="99"/>
    <w:pPr>
      <w:jc w:val="left"/>
    </w:pPr>
  </w:style>
  <w:style w:type="paragraph" w:styleId="16">
    <w:name w:val="Body Text Indent"/>
    <w:basedOn w:val="1"/>
    <w:link w:val="61"/>
    <w:qFormat/>
    <w:uiPriority w:val="99"/>
    <w:pPr>
      <w:ind w:firstLine="540"/>
    </w:pPr>
    <w:rPr>
      <w:sz w:val="28"/>
      <w:szCs w:val="20"/>
    </w:rPr>
  </w:style>
  <w:style w:type="paragraph" w:styleId="17">
    <w:name w:val="toc 5"/>
    <w:basedOn w:val="1"/>
    <w:next w:val="1"/>
    <w:uiPriority w:val="99"/>
    <w:pPr>
      <w:ind w:left="840"/>
      <w:jc w:val="left"/>
    </w:pPr>
    <w:rPr>
      <w:rFonts w:ascii="Calibri" w:hAnsi="Calibri" w:cs="Calibri"/>
      <w:sz w:val="18"/>
      <w:szCs w:val="18"/>
    </w:rPr>
  </w:style>
  <w:style w:type="paragraph" w:styleId="18">
    <w:name w:val="toc 3"/>
    <w:basedOn w:val="1"/>
    <w:next w:val="1"/>
    <w:uiPriority w:val="99"/>
    <w:pPr>
      <w:ind w:left="420"/>
      <w:jc w:val="left"/>
    </w:pPr>
    <w:rPr>
      <w:rFonts w:ascii="Calibri" w:hAnsi="Calibri" w:cs="Calibri"/>
      <w:i/>
      <w:iCs/>
      <w:sz w:val="20"/>
      <w:szCs w:val="20"/>
    </w:rPr>
  </w:style>
  <w:style w:type="paragraph" w:styleId="19">
    <w:name w:val="toc 8"/>
    <w:basedOn w:val="1"/>
    <w:next w:val="1"/>
    <w:uiPriority w:val="99"/>
    <w:pPr>
      <w:ind w:left="1470"/>
      <w:jc w:val="left"/>
    </w:pPr>
    <w:rPr>
      <w:rFonts w:ascii="Calibri" w:hAnsi="Calibri" w:cs="Calibri"/>
      <w:sz w:val="18"/>
      <w:szCs w:val="18"/>
    </w:rPr>
  </w:style>
  <w:style w:type="paragraph" w:styleId="20">
    <w:name w:val="Date"/>
    <w:basedOn w:val="1"/>
    <w:next w:val="1"/>
    <w:link w:val="55"/>
    <w:semiHidden/>
    <w:uiPriority w:val="99"/>
    <w:pPr>
      <w:ind w:left="100" w:leftChars="2500"/>
    </w:pPr>
  </w:style>
  <w:style w:type="paragraph" w:styleId="21">
    <w:name w:val="Body Text Indent 2"/>
    <w:basedOn w:val="1"/>
    <w:link w:val="59"/>
    <w:qFormat/>
    <w:uiPriority w:val="99"/>
    <w:pPr>
      <w:spacing w:line="480" w:lineRule="auto"/>
      <w:ind w:left="284"/>
      <w:jc w:val="center"/>
    </w:pPr>
    <w:rPr>
      <w:rFonts w:ascii="幼圆" w:eastAsia="幼圆"/>
      <w:b/>
      <w:w w:val="200"/>
      <w:sz w:val="28"/>
      <w:u w:val="single"/>
    </w:rPr>
  </w:style>
  <w:style w:type="paragraph" w:styleId="22">
    <w:name w:val="Balloon Text"/>
    <w:basedOn w:val="1"/>
    <w:link w:val="54"/>
    <w:uiPriority w:val="99"/>
    <w:rPr>
      <w:sz w:val="18"/>
      <w:szCs w:val="18"/>
    </w:rPr>
  </w:style>
  <w:style w:type="paragraph" w:styleId="23">
    <w:name w:val="footer"/>
    <w:basedOn w:val="1"/>
    <w:link w:val="53"/>
    <w:qFormat/>
    <w:uiPriority w:val="99"/>
    <w:pPr>
      <w:tabs>
        <w:tab w:val="center" w:pos="4153"/>
        <w:tab w:val="right" w:pos="8306"/>
      </w:tabs>
      <w:snapToGrid w:val="0"/>
      <w:jc w:val="left"/>
    </w:pPr>
    <w:rPr>
      <w:sz w:val="18"/>
      <w:szCs w:val="18"/>
    </w:rPr>
  </w:style>
  <w:style w:type="paragraph" w:styleId="24">
    <w:name w:val="header"/>
    <w:basedOn w:val="1"/>
    <w:link w:val="52"/>
    <w:qFormat/>
    <w:uiPriority w:val="99"/>
    <w:pPr>
      <w:tabs>
        <w:tab w:val="center" w:pos="4153"/>
        <w:tab w:val="right" w:pos="8306"/>
      </w:tabs>
      <w:snapToGrid w:val="0"/>
      <w:jc w:val="center"/>
    </w:pPr>
    <w:rPr>
      <w:sz w:val="18"/>
      <w:szCs w:val="18"/>
    </w:rPr>
  </w:style>
  <w:style w:type="paragraph" w:styleId="25">
    <w:name w:val="toc 1"/>
    <w:basedOn w:val="1"/>
    <w:next w:val="1"/>
    <w:uiPriority w:val="39"/>
    <w:pPr>
      <w:spacing w:before="120" w:after="120"/>
      <w:jc w:val="left"/>
    </w:pPr>
    <w:rPr>
      <w:rFonts w:ascii="Calibri" w:hAnsi="Calibri" w:cs="Calibri"/>
      <w:b/>
      <w:bCs/>
      <w:caps/>
      <w:sz w:val="20"/>
      <w:szCs w:val="20"/>
    </w:rPr>
  </w:style>
  <w:style w:type="paragraph" w:styleId="26">
    <w:name w:val="toc 4"/>
    <w:basedOn w:val="1"/>
    <w:next w:val="1"/>
    <w:uiPriority w:val="99"/>
    <w:pPr>
      <w:ind w:left="630"/>
      <w:jc w:val="left"/>
    </w:pPr>
    <w:rPr>
      <w:rFonts w:ascii="Calibri" w:hAnsi="Calibri" w:cs="Calibri"/>
      <w:sz w:val="18"/>
      <w:szCs w:val="18"/>
    </w:rPr>
  </w:style>
  <w:style w:type="paragraph" w:styleId="27">
    <w:name w:val="Subtitle"/>
    <w:basedOn w:val="1"/>
    <w:link w:val="63"/>
    <w:qFormat/>
    <w:uiPriority w:val="99"/>
    <w:pPr>
      <w:spacing w:before="240" w:after="60" w:line="312" w:lineRule="auto"/>
      <w:jc w:val="center"/>
      <w:outlineLvl w:val="1"/>
    </w:pPr>
    <w:rPr>
      <w:rFonts w:ascii="Arial" w:hAnsi="Arial" w:cs="Arial"/>
      <w:b/>
      <w:bCs/>
      <w:kern w:val="28"/>
      <w:sz w:val="32"/>
      <w:szCs w:val="32"/>
    </w:rPr>
  </w:style>
  <w:style w:type="paragraph" w:styleId="28">
    <w:name w:val="toc 6"/>
    <w:basedOn w:val="1"/>
    <w:next w:val="1"/>
    <w:uiPriority w:val="99"/>
    <w:pPr>
      <w:ind w:left="1050"/>
      <w:jc w:val="left"/>
    </w:pPr>
    <w:rPr>
      <w:rFonts w:ascii="Calibri" w:hAnsi="Calibri" w:cs="Calibri"/>
      <w:sz w:val="18"/>
      <w:szCs w:val="18"/>
    </w:rPr>
  </w:style>
  <w:style w:type="paragraph" w:styleId="29">
    <w:name w:val="Body Text Indent 3"/>
    <w:basedOn w:val="1"/>
    <w:link w:val="62"/>
    <w:uiPriority w:val="99"/>
    <w:pPr>
      <w:spacing w:line="480" w:lineRule="auto"/>
      <w:ind w:firstLine="480"/>
    </w:pPr>
    <w:rPr>
      <w:sz w:val="24"/>
      <w:szCs w:val="20"/>
    </w:rPr>
  </w:style>
  <w:style w:type="paragraph" w:styleId="30">
    <w:name w:val="toc 2"/>
    <w:basedOn w:val="1"/>
    <w:next w:val="1"/>
    <w:uiPriority w:val="39"/>
    <w:pPr>
      <w:tabs>
        <w:tab w:val="left" w:pos="840"/>
        <w:tab w:val="right" w:leader="dot" w:pos="8777"/>
      </w:tabs>
      <w:ind w:left="210"/>
      <w:jc w:val="left"/>
    </w:pPr>
    <w:rPr>
      <w:rFonts w:ascii="Calibri" w:hAnsi="Calibri" w:cs="Calibri"/>
      <w:smallCaps/>
      <w:sz w:val="20"/>
      <w:szCs w:val="20"/>
    </w:rPr>
  </w:style>
  <w:style w:type="paragraph" w:styleId="31">
    <w:name w:val="toc 9"/>
    <w:basedOn w:val="1"/>
    <w:next w:val="1"/>
    <w:uiPriority w:val="99"/>
    <w:pPr>
      <w:ind w:left="1680"/>
      <w:jc w:val="left"/>
    </w:pPr>
    <w:rPr>
      <w:rFonts w:ascii="Calibri" w:hAnsi="Calibri" w:cs="Calibri"/>
      <w:sz w:val="18"/>
      <w:szCs w:val="18"/>
    </w:rPr>
  </w:style>
  <w:style w:type="paragraph" w:styleId="32">
    <w:name w:val="Normal (Web)"/>
    <w:basedOn w:val="1"/>
    <w:uiPriority w:val="0"/>
    <w:pPr>
      <w:widowControl/>
      <w:spacing w:before="100" w:beforeAutospacing="1" w:after="100" w:afterAutospacing="1"/>
      <w:jc w:val="left"/>
    </w:pPr>
    <w:rPr>
      <w:rFonts w:ascii="宋体" w:hAnsi="宋体" w:cs="宋体"/>
      <w:kern w:val="0"/>
      <w:sz w:val="24"/>
    </w:rPr>
  </w:style>
  <w:style w:type="paragraph" w:styleId="33">
    <w:name w:val="Title"/>
    <w:basedOn w:val="1"/>
    <w:next w:val="27"/>
    <w:link w:val="60"/>
    <w:qFormat/>
    <w:uiPriority w:val="99"/>
    <w:pPr>
      <w:keepNext/>
      <w:keepLines/>
      <w:widowControl/>
      <w:spacing w:before="140"/>
      <w:jc w:val="center"/>
    </w:pPr>
    <w:rPr>
      <w:rFonts w:ascii="Garamond" w:hAnsi="Garamond"/>
      <w:caps/>
      <w:spacing w:val="60"/>
      <w:kern w:val="20"/>
      <w:sz w:val="44"/>
      <w:szCs w:val="20"/>
    </w:rPr>
  </w:style>
  <w:style w:type="paragraph" w:styleId="34">
    <w:name w:val="annotation subject"/>
    <w:basedOn w:val="15"/>
    <w:next w:val="15"/>
    <w:link w:val="77"/>
    <w:semiHidden/>
    <w:qFormat/>
    <w:uiPriority w:val="99"/>
    <w:rPr>
      <w:b/>
      <w:bCs/>
    </w:rPr>
  </w:style>
  <w:style w:type="table" w:styleId="36">
    <w:name w:val="Table Grid"/>
    <w:basedOn w:val="3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99"/>
    <w:rPr>
      <w:rFonts w:cs="Times New Roman"/>
      <w:b/>
    </w:rPr>
  </w:style>
  <w:style w:type="character" w:styleId="39">
    <w:name w:val="page number"/>
    <w:basedOn w:val="37"/>
    <w:qFormat/>
    <w:uiPriority w:val="0"/>
    <w:rPr>
      <w:rFonts w:cs="Times New Roman"/>
    </w:rPr>
  </w:style>
  <w:style w:type="character" w:styleId="40">
    <w:name w:val="FollowedHyperlink"/>
    <w:basedOn w:val="37"/>
    <w:semiHidden/>
    <w:unhideWhenUsed/>
    <w:locked/>
    <w:uiPriority w:val="99"/>
    <w:rPr>
      <w:color w:val="800080" w:themeColor="followedHyperlink"/>
      <w:u w:val="single"/>
    </w:rPr>
  </w:style>
  <w:style w:type="character" w:styleId="41">
    <w:name w:val="Hyperlink"/>
    <w:basedOn w:val="37"/>
    <w:uiPriority w:val="99"/>
    <w:rPr>
      <w:rFonts w:cs="Times New Roman"/>
      <w:color w:val="0000FF"/>
      <w:u w:val="single"/>
    </w:rPr>
  </w:style>
  <w:style w:type="character" w:styleId="42">
    <w:name w:val="annotation reference"/>
    <w:basedOn w:val="37"/>
    <w:semiHidden/>
    <w:qFormat/>
    <w:uiPriority w:val="99"/>
    <w:rPr>
      <w:rFonts w:cs="Times New Roman"/>
      <w:sz w:val="21"/>
    </w:rPr>
  </w:style>
  <w:style w:type="character" w:customStyle="1" w:styleId="43">
    <w:name w:val="标题 1 Char"/>
    <w:basedOn w:val="37"/>
    <w:link w:val="2"/>
    <w:locked/>
    <w:uiPriority w:val="99"/>
    <w:rPr>
      <w:rFonts w:ascii="Times New Roman" w:hAnsi="Times New Roman" w:eastAsia="黑体"/>
      <w:b/>
      <w:bCs/>
      <w:kern w:val="44"/>
      <w:sz w:val="32"/>
      <w:szCs w:val="44"/>
    </w:rPr>
  </w:style>
  <w:style w:type="character" w:customStyle="1" w:styleId="44">
    <w:name w:val="标题 2 Char"/>
    <w:basedOn w:val="37"/>
    <w:link w:val="3"/>
    <w:qFormat/>
    <w:locked/>
    <w:uiPriority w:val="99"/>
    <w:rPr>
      <w:rFonts w:ascii="Times New Roman" w:hAnsi="Times New Roman" w:eastAsia="黑体"/>
      <w:bCs/>
      <w:sz w:val="28"/>
      <w:szCs w:val="32"/>
    </w:rPr>
  </w:style>
  <w:style w:type="character" w:customStyle="1" w:styleId="45">
    <w:name w:val="标题 3 Char"/>
    <w:basedOn w:val="37"/>
    <w:link w:val="4"/>
    <w:qFormat/>
    <w:locked/>
    <w:uiPriority w:val="99"/>
    <w:rPr>
      <w:rFonts w:ascii="Times New Roman" w:hAnsi="Times New Roman"/>
      <w:bCs/>
      <w:sz w:val="24"/>
      <w:szCs w:val="32"/>
    </w:rPr>
  </w:style>
  <w:style w:type="character" w:customStyle="1" w:styleId="46">
    <w:name w:val="Heading 4 Char"/>
    <w:basedOn w:val="37"/>
    <w:locked/>
    <w:uiPriority w:val="99"/>
    <w:rPr>
      <w:rFonts w:ascii="Times New Roman" w:hAnsi="Times New Roman" w:eastAsia="宋体" w:cs="Times New Roman"/>
      <w:kern w:val="0"/>
      <w:sz w:val="28"/>
    </w:rPr>
  </w:style>
  <w:style w:type="character" w:customStyle="1" w:styleId="47">
    <w:name w:val="标题 5 Char"/>
    <w:basedOn w:val="37"/>
    <w:link w:val="6"/>
    <w:locked/>
    <w:uiPriority w:val="99"/>
    <w:rPr>
      <w:rFonts w:ascii="Times New Roman" w:hAnsi="Times New Roman"/>
      <w:b/>
      <w:bCs/>
      <w:sz w:val="28"/>
      <w:szCs w:val="28"/>
    </w:rPr>
  </w:style>
  <w:style w:type="character" w:customStyle="1" w:styleId="48">
    <w:name w:val="标题 6 Char"/>
    <w:basedOn w:val="37"/>
    <w:link w:val="7"/>
    <w:locked/>
    <w:uiPriority w:val="99"/>
    <w:rPr>
      <w:rFonts w:ascii="Cambria" w:hAnsi="Cambria"/>
      <w:b/>
      <w:bCs/>
      <w:sz w:val="24"/>
      <w:szCs w:val="24"/>
    </w:rPr>
  </w:style>
  <w:style w:type="character" w:customStyle="1" w:styleId="49">
    <w:name w:val="标题 7 Char"/>
    <w:basedOn w:val="37"/>
    <w:link w:val="8"/>
    <w:locked/>
    <w:uiPriority w:val="99"/>
    <w:rPr>
      <w:rFonts w:ascii="Times New Roman" w:hAnsi="Times New Roman"/>
      <w:b/>
      <w:bCs/>
      <w:sz w:val="24"/>
      <w:szCs w:val="24"/>
    </w:rPr>
  </w:style>
  <w:style w:type="character" w:customStyle="1" w:styleId="50">
    <w:name w:val="标题 8 Char"/>
    <w:basedOn w:val="37"/>
    <w:link w:val="9"/>
    <w:locked/>
    <w:uiPriority w:val="99"/>
    <w:rPr>
      <w:rFonts w:ascii="Cambria" w:hAnsi="Cambria"/>
      <w:sz w:val="24"/>
      <w:szCs w:val="24"/>
    </w:rPr>
  </w:style>
  <w:style w:type="character" w:customStyle="1" w:styleId="51">
    <w:name w:val="标题 9 Char"/>
    <w:basedOn w:val="37"/>
    <w:link w:val="10"/>
    <w:locked/>
    <w:uiPriority w:val="99"/>
    <w:rPr>
      <w:rFonts w:ascii="Cambria" w:hAnsi="Cambria"/>
      <w:szCs w:val="21"/>
    </w:rPr>
  </w:style>
  <w:style w:type="character" w:customStyle="1" w:styleId="52">
    <w:name w:val="页眉 Char"/>
    <w:basedOn w:val="37"/>
    <w:link w:val="24"/>
    <w:locked/>
    <w:uiPriority w:val="99"/>
    <w:rPr>
      <w:rFonts w:ascii="Times New Roman" w:hAnsi="Times New Roman" w:eastAsia="宋体" w:cs="Times New Roman"/>
      <w:sz w:val="18"/>
      <w:szCs w:val="18"/>
    </w:rPr>
  </w:style>
  <w:style w:type="character" w:customStyle="1" w:styleId="53">
    <w:name w:val="页脚 Char"/>
    <w:basedOn w:val="37"/>
    <w:link w:val="23"/>
    <w:locked/>
    <w:uiPriority w:val="0"/>
    <w:rPr>
      <w:rFonts w:cs="Times New Roman"/>
      <w:sz w:val="18"/>
      <w:szCs w:val="18"/>
    </w:rPr>
  </w:style>
  <w:style w:type="character" w:customStyle="1" w:styleId="54">
    <w:name w:val="批注框文本 Char"/>
    <w:basedOn w:val="37"/>
    <w:link w:val="22"/>
    <w:locked/>
    <w:uiPriority w:val="99"/>
    <w:rPr>
      <w:rFonts w:ascii="Times New Roman" w:hAnsi="Times New Roman" w:eastAsia="宋体" w:cs="Times New Roman"/>
      <w:sz w:val="18"/>
      <w:szCs w:val="18"/>
    </w:rPr>
  </w:style>
  <w:style w:type="character" w:customStyle="1" w:styleId="55">
    <w:name w:val="日期 Char"/>
    <w:basedOn w:val="37"/>
    <w:link w:val="20"/>
    <w:semiHidden/>
    <w:locked/>
    <w:uiPriority w:val="99"/>
    <w:rPr>
      <w:rFonts w:ascii="Times New Roman" w:hAnsi="Times New Roman" w:eastAsia="宋体" w:cs="Times New Roman"/>
      <w:sz w:val="24"/>
      <w:szCs w:val="24"/>
    </w:rPr>
  </w:style>
  <w:style w:type="character" w:styleId="56">
    <w:name w:val="Placeholder Text"/>
    <w:basedOn w:val="37"/>
    <w:semiHidden/>
    <w:uiPriority w:val="99"/>
    <w:rPr>
      <w:rFonts w:cs="Times New Roman"/>
      <w:color w:val="808080"/>
    </w:rPr>
  </w:style>
  <w:style w:type="character" w:customStyle="1" w:styleId="57">
    <w:name w:val="style1"/>
    <w:basedOn w:val="37"/>
    <w:uiPriority w:val="99"/>
    <w:rPr>
      <w:rFonts w:cs="Times New Roman"/>
    </w:rPr>
  </w:style>
  <w:style w:type="paragraph" w:customStyle="1" w:styleId="58">
    <w:name w:val="msonor"/>
    <w:basedOn w:val="1"/>
    <w:uiPriority w:val="99"/>
    <w:pPr>
      <w:widowControl/>
      <w:spacing w:before="100" w:beforeAutospacing="1" w:after="100" w:afterAutospacing="1"/>
      <w:jc w:val="left"/>
    </w:pPr>
    <w:rPr>
      <w:rFonts w:ascii="宋体" w:hAnsi="宋体" w:cs="宋体"/>
      <w:color w:val="000000"/>
      <w:kern w:val="0"/>
      <w:sz w:val="24"/>
    </w:rPr>
  </w:style>
  <w:style w:type="character" w:customStyle="1" w:styleId="59">
    <w:name w:val="正文文本缩进 2 Char"/>
    <w:basedOn w:val="37"/>
    <w:link w:val="21"/>
    <w:locked/>
    <w:uiPriority w:val="99"/>
    <w:rPr>
      <w:rFonts w:ascii="幼圆" w:hAnsi="Times New Roman" w:eastAsia="幼圆" w:cs="Times New Roman"/>
      <w:b/>
      <w:w w:val="200"/>
      <w:sz w:val="24"/>
      <w:szCs w:val="24"/>
      <w:u w:val="single"/>
    </w:rPr>
  </w:style>
  <w:style w:type="character" w:customStyle="1" w:styleId="60">
    <w:name w:val="标题 Char"/>
    <w:basedOn w:val="37"/>
    <w:link w:val="33"/>
    <w:locked/>
    <w:uiPriority w:val="99"/>
    <w:rPr>
      <w:rFonts w:ascii="Garamond" w:hAnsi="Garamond" w:eastAsia="宋体" w:cs="Times New Roman"/>
      <w:caps/>
      <w:spacing w:val="60"/>
      <w:kern w:val="20"/>
      <w:sz w:val="20"/>
      <w:szCs w:val="20"/>
    </w:rPr>
  </w:style>
  <w:style w:type="character" w:customStyle="1" w:styleId="61">
    <w:name w:val="正文文本缩进 Char"/>
    <w:basedOn w:val="37"/>
    <w:link w:val="16"/>
    <w:locked/>
    <w:uiPriority w:val="99"/>
    <w:rPr>
      <w:rFonts w:ascii="Times New Roman" w:hAnsi="Times New Roman" w:eastAsia="宋体" w:cs="Times New Roman"/>
      <w:sz w:val="20"/>
      <w:szCs w:val="20"/>
    </w:rPr>
  </w:style>
  <w:style w:type="character" w:customStyle="1" w:styleId="62">
    <w:name w:val="正文文本缩进 3 Char"/>
    <w:basedOn w:val="37"/>
    <w:link w:val="29"/>
    <w:locked/>
    <w:uiPriority w:val="99"/>
    <w:rPr>
      <w:rFonts w:ascii="Times New Roman" w:hAnsi="Times New Roman" w:eastAsia="宋体" w:cs="Times New Roman"/>
      <w:sz w:val="20"/>
      <w:szCs w:val="20"/>
    </w:rPr>
  </w:style>
  <w:style w:type="character" w:customStyle="1" w:styleId="63">
    <w:name w:val="副标题 Char"/>
    <w:basedOn w:val="37"/>
    <w:link w:val="27"/>
    <w:locked/>
    <w:uiPriority w:val="99"/>
    <w:rPr>
      <w:rFonts w:ascii="Arial" w:hAnsi="Arial" w:eastAsia="宋体" w:cs="Arial"/>
      <w:b/>
      <w:bCs/>
      <w:kern w:val="28"/>
      <w:sz w:val="32"/>
      <w:szCs w:val="32"/>
    </w:rPr>
  </w:style>
  <w:style w:type="paragraph" w:customStyle="1" w:styleId="64">
    <w:name w:val="TOC Heading"/>
    <w:basedOn w:val="2"/>
    <w:next w:val="1"/>
    <w:qFormat/>
    <w:uiPriority w:val="99"/>
    <w:pPr>
      <w:widowControl/>
      <w:spacing w:before="480" w:after="0" w:line="276" w:lineRule="auto"/>
      <w:jc w:val="left"/>
      <w:outlineLvl w:val="9"/>
    </w:pPr>
    <w:rPr>
      <w:rFonts w:ascii="Cambria" w:hAnsi="Cambria" w:eastAsia="宋体"/>
      <w:color w:val="365F91"/>
      <w:kern w:val="0"/>
      <w:sz w:val="28"/>
      <w:szCs w:val="28"/>
    </w:rPr>
  </w:style>
  <w:style w:type="character" w:customStyle="1" w:styleId="65">
    <w:name w:val="文档结构图 Char"/>
    <w:basedOn w:val="37"/>
    <w:link w:val="13"/>
    <w:semiHidden/>
    <w:locked/>
    <w:uiPriority w:val="99"/>
    <w:rPr>
      <w:rFonts w:ascii="宋体" w:hAnsi="Times New Roman" w:eastAsia="宋体" w:cs="Times New Roman"/>
      <w:sz w:val="18"/>
      <w:szCs w:val="18"/>
    </w:rPr>
  </w:style>
  <w:style w:type="character" w:customStyle="1" w:styleId="66">
    <w:name w:val="正文文本 (4) + MingLiU"/>
    <w:qFormat/>
    <w:uiPriority w:val="99"/>
    <w:rPr>
      <w:rFonts w:ascii="MingLiU" w:hAnsi="MingLiU" w:eastAsia="MingLiU"/>
      <w:b/>
      <w:color w:val="000000"/>
      <w:spacing w:val="0"/>
      <w:w w:val="100"/>
      <w:position w:val="0"/>
      <w:sz w:val="20"/>
      <w:u w:val="none"/>
      <w:lang w:val="zh-TW"/>
    </w:rPr>
  </w:style>
  <w:style w:type="paragraph" w:styleId="67">
    <w:name w:val="List Paragraph"/>
    <w:basedOn w:val="1"/>
    <w:qFormat/>
    <w:uiPriority w:val="99"/>
    <w:pPr>
      <w:ind w:firstLine="420" w:firstLineChars="200"/>
    </w:pPr>
  </w:style>
  <w:style w:type="character" w:customStyle="1" w:styleId="68">
    <w:name w:val="标题 4 Char"/>
    <w:basedOn w:val="37"/>
    <w:link w:val="5"/>
    <w:qFormat/>
    <w:locked/>
    <w:uiPriority w:val="99"/>
    <w:rPr>
      <w:rFonts w:ascii="Cambria" w:hAnsi="Cambria"/>
      <w:b/>
      <w:bCs/>
      <w:sz w:val="28"/>
      <w:szCs w:val="28"/>
    </w:rPr>
  </w:style>
  <w:style w:type="paragraph" w:customStyle="1" w:styleId="69">
    <w:name w:val="款项"/>
    <w:basedOn w:val="67"/>
    <w:qFormat/>
    <w:uiPriority w:val="99"/>
    <w:pPr>
      <w:autoSpaceDE w:val="0"/>
      <w:autoSpaceDN w:val="0"/>
      <w:adjustRightInd w:val="0"/>
      <w:spacing w:line="360" w:lineRule="auto"/>
      <w:ind w:firstLine="200"/>
      <w:jc w:val="left"/>
    </w:pPr>
    <w:rPr>
      <w:kern w:val="0"/>
      <w:sz w:val="24"/>
      <w:lang w:val="zh-CN"/>
    </w:rPr>
  </w:style>
  <w:style w:type="character" w:customStyle="1" w:styleId="70">
    <w:name w:val="style11"/>
    <w:basedOn w:val="37"/>
    <w:uiPriority w:val="99"/>
    <w:rPr>
      <w:rFonts w:ascii="Times New Roman" w:hAnsi="Times New Roman" w:cs="Times New Roman"/>
      <w:i/>
      <w:iCs/>
    </w:rPr>
  </w:style>
  <w:style w:type="paragraph" w:customStyle="1" w:styleId="71">
    <w:name w:val="分组编号"/>
    <w:basedOn w:val="4"/>
    <w:qFormat/>
    <w:uiPriority w:val="99"/>
    <w:pPr>
      <w:numPr>
        <w:ilvl w:val="0"/>
        <w:numId w:val="2"/>
      </w:numPr>
      <w:jc w:val="center"/>
    </w:pPr>
    <w:rPr>
      <w:rFonts w:ascii="黑体" w:hAnsi="黑体"/>
      <w:bCs w:val="0"/>
      <w:kern w:val="0"/>
      <w:lang w:val="zh-CN"/>
    </w:rPr>
  </w:style>
  <w:style w:type="paragraph" w:customStyle="1" w:styleId="72">
    <w:name w:val="图表"/>
    <w:basedOn w:val="1"/>
    <w:qFormat/>
    <w:uiPriority w:val="99"/>
    <w:pPr>
      <w:spacing w:line="360" w:lineRule="auto"/>
      <w:jc w:val="center"/>
    </w:pPr>
    <w:rPr>
      <w:rFonts w:ascii="仿宋" w:hAnsi="仿宋" w:eastAsia="仿宋"/>
      <w:sz w:val="24"/>
      <w:szCs w:val="30"/>
    </w:rPr>
  </w:style>
  <w:style w:type="paragraph" w:customStyle="1" w:styleId="73">
    <w:name w:val="目录标题"/>
    <w:basedOn w:val="1"/>
    <w:qFormat/>
    <w:uiPriority w:val="99"/>
    <w:pPr>
      <w:jc w:val="center"/>
    </w:pPr>
    <w:rPr>
      <w:rFonts w:cs="宋体"/>
      <w:sz w:val="32"/>
      <w:szCs w:val="20"/>
    </w:rPr>
  </w:style>
  <w:style w:type="paragraph" w:customStyle="1" w:styleId="74">
    <w:name w:val="款格式"/>
    <w:basedOn w:val="1"/>
    <w:qFormat/>
    <w:uiPriority w:val="99"/>
    <w:pPr>
      <w:spacing w:line="360" w:lineRule="auto"/>
      <w:ind w:firstLine="480" w:firstLineChars="200"/>
      <w:jc w:val="left"/>
    </w:pPr>
    <w:rPr>
      <w:rFonts w:cs="宋体"/>
      <w:sz w:val="24"/>
      <w:lang w:val="zh-CN"/>
    </w:rPr>
  </w:style>
  <w:style w:type="paragraph" w:customStyle="1" w:styleId="75">
    <w:name w:val="修改后的条文"/>
    <w:basedOn w:val="1"/>
    <w:qFormat/>
    <w:uiPriority w:val="99"/>
    <w:pPr>
      <w:spacing w:afterLines="100" w:line="360" w:lineRule="auto"/>
    </w:pPr>
    <w:rPr>
      <w:rFonts w:cs="宋体"/>
      <w:color w:val="FF0000"/>
      <w:kern w:val="0"/>
      <w:sz w:val="28"/>
      <w:szCs w:val="20"/>
    </w:rPr>
  </w:style>
  <w:style w:type="character" w:customStyle="1" w:styleId="76">
    <w:name w:val="批注文字 Char"/>
    <w:basedOn w:val="37"/>
    <w:link w:val="15"/>
    <w:semiHidden/>
    <w:qFormat/>
    <w:locked/>
    <w:uiPriority w:val="99"/>
    <w:rPr>
      <w:rFonts w:ascii="Times New Roman" w:hAnsi="Times New Roman" w:eastAsia="宋体" w:cs="Times New Roman"/>
      <w:sz w:val="24"/>
      <w:szCs w:val="24"/>
    </w:rPr>
  </w:style>
  <w:style w:type="character" w:customStyle="1" w:styleId="77">
    <w:name w:val="批注主题 Char"/>
    <w:basedOn w:val="76"/>
    <w:link w:val="34"/>
    <w:semiHidden/>
    <w:qFormat/>
    <w:locked/>
    <w:uiPriority w:val="99"/>
    <w:rPr>
      <w:rFonts w:ascii="Times New Roman" w:hAnsi="Times New Roman" w:eastAsia="宋体" w:cs="Times New Roman"/>
      <w:b/>
      <w:bCs/>
      <w:sz w:val="24"/>
      <w:szCs w:val="24"/>
    </w:rPr>
  </w:style>
  <w:style w:type="paragraph" w:customStyle="1" w:styleId="78">
    <w:name w:val="表格、图标题"/>
    <w:basedOn w:val="12"/>
    <w:qFormat/>
    <w:uiPriority w:val="99"/>
    <w:pPr>
      <w:spacing w:line="360" w:lineRule="auto"/>
    </w:pPr>
    <w:rPr>
      <w:rFonts w:ascii="Times New Roman" w:hAnsi="Times New Roman" w:eastAsia="宋体" w:cs="宋体"/>
      <w:b/>
      <w:sz w:val="21"/>
      <w:lang w:val="zh-CN"/>
    </w:rPr>
  </w:style>
  <w:style w:type="paragraph" w:customStyle="1" w:styleId="79">
    <w:name w:val="表内字体"/>
    <w:basedOn w:val="78"/>
    <w:qFormat/>
    <w:uiPriority w:val="99"/>
    <w:rPr>
      <w:rFonts w:ascii="宋体" w:hAnsi="宋体"/>
    </w:rPr>
  </w:style>
  <w:style w:type="paragraph" w:customStyle="1" w:styleId="80">
    <w:name w:val="图片段落"/>
    <w:basedOn w:val="1"/>
    <w:uiPriority w:val="99"/>
    <w:pPr>
      <w:spacing w:beforeLines="50" w:afterLines="50"/>
      <w:jc w:val="center"/>
    </w:pPr>
    <w:rPr>
      <w:rFonts w:cs="宋体"/>
      <w:szCs w:val="20"/>
    </w:rPr>
  </w:style>
  <w:style w:type="paragraph" w:customStyle="1" w:styleId="81">
    <w:name w:val="表下注解字体第一行"/>
    <w:basedOn w:val="1"/>
    <w:uiPriority w:val="99"/>
    <w:pPr>
      <w:ind w:firstLine="420" w:firstLineChars="200"/>
    </w:pPr>
    <w:rPr>
      <w:rFonts w:cs="宋体"/>
      <w:szCs w:val="20"/>
    </w:rPr>
  </w:style>
  <w:style w:type="paragraph" w:customStyle="1" w:styleId="82">
    <w:name w:val="表下注解字体第二行"/>
    <w:basedOn w:val="81"/>
    <w:uiPriority w:val="99"/>
    <w:pPr>
      <w:ind w:firstLine="840" w:firstLineChars="400"/>
    </w:pPr>
  </w:style>
  <w:style w:type="paragraph" w:customStyle="1" w:styleId="83">
    <w:name w:val="同三级标题格式的正文"/>
    <w:basedOn w:val="1"/>
    <w:qFormat/>
    <w:uiPriority w:val="99"/>
    <w:pPr>
      <w:spacing w:line="360" w:lineRule="auto"/>
      <w:ind w:firstLine="200" w:firstLineChars="200"/>
    </w:pPr>
    <w:rPr>
      <w:rFonts w:cs="宋体"/>
      <w:sz w:val="28"/>
      <w:szCs w:val="20"/>
    </w:rPr>
  </w:style>
  <w:style w:type="paragraph" w:customStyle="1" w:styleId="84">
    <w:name w:val="附录标题"/>
    <w:basedOn w:val="2"/>
    <w:uiPriority w:val="99"/>
    <w:pPr>
      <w:tabs>
        <w:tab w:val="left" w:pos="432"/>
      </w:tabs>
      <w:spacing w:beforeLines="100" w:afterLines="100"/>
    </w:pPr>
    <w:rPr>
      <w:rFonts w:ascii="黑体" w:hAnsi="黑体" w:cs="宋体"/>
      <w:b w:val="0"/>
      <w:bCs w:val="0"/>
      <w:szCs w:val="20"/>
    </w:rPr>
  </w:style>
  <w:style w:type="paragraph" w:customStyle="1" w:styleId="85">
    <w:name w:val="Char Char Char Char Char Char Char"/>
    <w:basedOn w:val="1"/>
    <w:uiPriority w:val="99"/>
    <w:pPr>
      <w:widowControl/>
      <w:spacing w:after="160" w:line="240" w:lineRule="exact"/>
      <w:jc w:val="left"/>
    </w:pPr>
    <w:rPr>
      <w:rFonts w:ascii="Arial" w:hAnsi="Arial" w:cs="Verdana"/>
      <w:b/>
      <w:kern w:val="0"/>
      <w:sz w:val="24"/>
      <w:lang w:eastAsia="en-US"/>
    </w:rPr>
  </w:style>
  <w:style w:type="character" w:customStyle="1" w:styleId="86">
    <w:name w:val="Char Char6"/>
    <w:uiPriority w:val="99"/>
    <w:rPr>
      <w:sz w:val="28"/>
    </w:rPr>
  </w:style>
  <w:style w:type="paragraph" w:customStyle="1" w:styleId="87">
    <w:name w:val="列出段落1"/>
    <w:basedOn w:val="1"/>
    <w:uiPriority w:val="99"/>
    <w:pPr>
      <w:ind w:firstLine="420" w:firstLineChars="200"/>
    </w:pPr>
  </w:style>
  <w:style w:type="paragraph" w:customStyle="1" w:styleId="88">
    <w:name w:val="封面标题"/>
    <w:basedOn w:val="1"/>
    <w:uiPriority w:val="0"/>
    <w:pPr>
      <w:jc w:val="center"/>
    </w:pPr>
    <w:rPr>
      <w:rFonts w:cs="宋体"/>
      <w:b/>
      <w:bCs/>
      <w:sz w:val="32"/>
      <w:szCs w:val="20"/>
    </w:rPr>
  </w:style>
  <w:style w:type="paragraph" w:customStyle="1" w:styleId="89">
    <w:name w:val="条文说明"/>
    <w:basedOn w:val="1"/>
    <w:uiPriority w:val="99"/>
    <w:pPr>
      <w:spacing w:line="360" w:lineRule="auto"/>
    </w:pPr>
    <w:rPr>
      <w:sz w:val="24"/>
    </w:rPr>
  </w:style>
  <w:style w:type="paragraph" w:customStyle="1" w:styleId="90">
    <w:name w:val="样式 标题 2二级标题 + (西文) 宋体 小四"/>
    <w:basedOn w:val="3"/>
    <w:link w:val="91"/>
    <w:uiPriority w:val="99"/>
    <w:pPr>
      <w:keepLines w:val="0"/>
      <w:tabs>
        <w:tab w:val="left" w:pos="420"/>
        <w:tab w:val="left" w:pos="1134"/>
      </w:tabs>
      <w:spacing w:beforeLines="50" w:afterLines="50"/>
      <w:ind w:firstLine="1134"/>
    </w:pPr>
    <w:rPr>
      <w:rFonts w:ascii="宋体" w:hAnsi="宋体"/>
      <w:b/>
      <w:bCs w:val="0"/>
      <w:kern w:val="44"/>
      <w:szCs w:val="20"/>
    </w:rPr>
  </w:style>
  <w:style w:type="character" w:customStyle="1" w:styleId="91">
    <w:name w:val="样式 标题 2二级标题 + (西文) 宋体 小四 Char"/>
    <w:link w:val="90"/>
    <w:locked/>
    <w:uiPriority w:val="99"/>
    <w:rPr>
      <w:rFonts w:ascii="宋体" w:hAnsi="宋体" w:eastAsia="黑体"/>
      <w:b/>
      <w:kern w:val="44"/>
      <w:sz w:val="28"/>
      <w:szCs w:val="20"/>
    </w:rPr>
  </w:style>
  <w:style w:type="paragraph" w:customStyle="1" w:styleId="92">
    <w:name w:val="样式 标题 2二级标题 + 段前: 0.5 行 段后: 0.5 行"/>
    <w:basedOn w:val="3"/>
    <w:qFormat/>
    <w:uiPriority w:val="99"/>
    <w:pPr>
      <w:keepLines w:val="0"/>
      <w:tabs>
        <w:tab w:val="left" w:pos="420"/>
        <w:tab w:val="left" w:pos="1134"/>
      </w:tabs>
      <w:spacing w:beforeLines="50" w:afterLines="50"/>
    </w:pPr>
    <w:rPr>
      <w:rFonts w:ascii="黑体" w:hAnsi="黑体" w:cs="宋体"/>
      <w:b/>
      <w:kern w:val="44"/>
      <w:szCs w:val="20"/>
    </w:rPr>
  </w:style>
  <w:style w:type="paragraph" w:customStyle="1" w:styleId="93">
    <w:name w:val="章"/>
    <w:basedOn w:val="1"/>
    <w:uiPriority w:val="0"/>
    <w:pPr>
      <w:spacing w:beforeLines="100" w:afterLines="100" w:line="300" w:lineRule="auto"/>
      <w:jc w:val="center"/>
      <w:outlineLvl w:val="0"/>
    </w:pPr>
    <w:rPr>
      <w:b/>
      <w:bCs/>
      <w:sz w:val="28"/>
      <w:szCs w:val="28"/>
    </w:rPr>
  </w:style>
  <w:style w:type="paragraph" w:customStyle="1" w:styleId="94">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95">
    <w:name w:val="公式"/>
    <w:basedOn w:val="74"/>
    <w:uiPriority w:val="99"/>
    <w:pPr>
      <w:spacing w:line="240" w:lineRule="auto"/>
      <w:ind w:firstLine="0" w:firstLineChars="0"/>
      <w:jc w:val="right"/>
    </w:pPr>
    <w:rPr>
      <w:kern w:val="0"/>
    </w:rPr>
  </w:style>
  <w:style w:type="character" w:customStyle="1" w:styleId="96">
    <w:name w:val="style51"/>
    <w:basedOn w:val="37"/>
    <w:qFormat/>
    <w:uiPriority w:val="99"/>
    <w:rPr>
      <w:rFonts w:cs="Times New Roman"/>
      <w:sz w:val="36"/>
      <w:szCs w:val="36"/>
    </w:rPr>
  </w:style>
  <w:style w:type="paragraph" w:customStyle="1" w:styleId="97">
    <w:name w:val="自动编号格式"/>
    <w:qFormat/>
    <w:uiPriority w:val="0"/>
    <w:rPr>
      <w:rFonts w:ascii="Times New Roman" w:hAnsi="Times New Roman" w:eastAsia="仿宋" w:cs="宋体"/>
      <w:kern w:val="0"/>
      <w:sz w:val="30"/>
      <w:szCs w:val="20"/>
      <w:lang w:val="zh-CN" w:eastAsia="zh-CN" w:bidi="ar-SA"/>
    </w:rPr>
  </w:style>
  <w:style w:type="paragraph" w:customStyle="1" w:styleId="98">
    <w:name w:val="条文格式"/>
    <w:basedOn w:val="89"/>
    <w:qFormat/>
    <w:uiPriority w:val="99"/>
    <w:pPr>
      <w:spacing w:line="480" w:lineRule="auto"/>
    </w:pPr>
    <w:rPr>
      <w:rFonts w:eastAsia="仿宋"/>
      <w:sz w:val="30"/>
    </w:rPr>
  </w:style>
  <w:style w:type="paragraph" w:styleId="99">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00">
    <w:name w:val="short_text"/>
    <w:basedOn w:val="37"/>
    <w:uiPriority w:val="99"/>
    <w:rPr>
      <w:rFonts w:cs="Times New Roman"/>
    </w:rPr>
  </w:style>
  <w:style w:type="paragraph" w:customStyle="1" w:styleId="101">
    <w:name w:val="标题1"/>
    <w:basedOn w:val="1"/>
    <w:next w:val="1"/>
    <w:uiPriority w:val="99"/>
    <w:pPr>
      <w:widowControl/>
      <w:spacing w:after="160" w:line="240" w:lineRule="exact"/>
    </w:pPr>
    <w:rPr>
      <w:rFonts w:eastAsia="黑体"/>
      <w:sz w:val="32"/>
      <w:szCs w:val="20"/>
    </w:rPr>
  </w:style>
  <w:style w:type="character" w:customStyle="1" w:styleId="102">
    <w:name w:val="fontstyle01"/>
    <w:basedOn w:val="37"/>
    <w:qFormat/>
    <w:uiPriority w:val="0"/>
    <w:rPr>
      <w:rFonts w:hint="eastAsia" w:ascii="宋体" w:hAnsi="宋体" w:eastAsia="宋体"/>
      <w:color w:val="000000"/>
      <w:sz w:val="24"/>
      <w:szCs w:val="24"/>
    </w:rPr>
  </w:style>
  <w:style w:type="paragraph" w:customStyle="1" w:styleId="103">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04">
    <w:name w:val="目录标题1"/>
    <w:basedOn w:val="1"/>
    <w:uiPriority w:val="0"/>
    <w:pPr>
      <w:jc w:val="center"/>
    </w:pPr>
    <w:rPr>
      <w:rFonts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8"/>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02680-E300-4FCA-A161-CFD5088A171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31</Pages>
  <Words>2660</Words>
  <Characters>15165</Characters>
  <Lines>126</Lines>
  <Paragraphs>35</Paragraphs>
  <TotalTime>38</TotalTime>
  <ScaleCrop>false</ScaleCrop>
  <LinksUpToDate>false</LinksUpToDate>
  <CharactersWithSpaces>17790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2020-06-09T05:27:00Z</dcterms:created>
  <dc:creator>Administrator</dc:creator>
  <cp:lastModifiedBy>飞翔</cp:lastModifiedBy>
  <cp:lastPrinted>2020-11-10T06:05:33Z</cp:lastPrinted>
  <dcterms:modified xsi:type="dcterms:W3CDTF">2020-11-10T08:56:19Z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