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outlineLvl w:val="9"/>
        <w:rPr>
          <w:rFonts w:hint="eastAsia" w:ascii="方正小标宋简体" w:hAnsi="方正小标宋简体" w:eastAsia="方正小标宋简体" w:cs="方正小标宋简体"/>
          <w:color w:val="auto"/>
          <w:sz w:val="44"/>
          <w:szCs w:val="44"/>
          <w:shd w:val="clear" w:color="auto" w:fill="auto"/>
          <w:lang w:eastAsia="zh-CN"/>
        </w:rPr>
      </w:pPr>
      <w:bookmarkStart w:id="0" w:name="_GoBack"/>
      <w:bookmarkEnd w:id="0"/>
      <w:r>
        <w:rPr>
          <w:rFonts w:hint="eastAsia" w:ascii="方正小标宋简体" w:hAnsi="方正小标宋简体" w:eastAsia="方正小标宋简体" w:cs="方正小标宋简体"/>
          <w:color w:val="auto"/>
          <w:sz w:val="44"/>
          <w:szCs w:val="44"/>
          <w:shd w:val="clear" w:color="auto" w:fill="auto"/>
          <w:lang w:eastAsia="zh-CN"/>
        </w:rPr>
        <w:t>实施城市更新行动可复制经验做法清单（第一批）</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
        <w:gridCol w:w="1245"/>
        <w:gridCol w:w="1604"/>
        <w:gridCol w:w="10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416"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8"/>
                <w:szCs w:val="28"/>
                <w:shd w:val="clear" w:color="auto" w:fill="auto"/>
                <w:vertAlign w:val="baseline"/>
                <w:lang w:eastAsia="zh-CN"/>
              </w:rPr>
            </w:pPr>
            <w:r>
              <w:rPr>
                <w:rFonts w:hint="eastAsia" w:ascii="黑体" w:hAnsi="黑体" w:eastAsia="黑体" w:cs="黑体"/>
                <w:b w:val="0"/>
                <w:bCs w:val="0"/>
                <w:color w:val="auto"/>
                <w:sz w:val="28"/>
                <w:szCs w:val="28"/>
                <w:shd w:val="clear" w:color="auto" w:fill="auto"/>
                <w:vertAlign w:val="baseline"/>
                <w:lang w:eastAsia="zh-CN"/>
              </w:rPr>
              <w:t>序号</w:t>
            </w:r>
          </w:p>
        </w:tc>
        <w:tc>
          <w:tcPr>
            <w:tcW w:w="1245"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8"/>
                <w:szCs w:val="28"/>
                <w:shd w:val="clear" w:color="auto" w:fill="auto"/>
                <w:vertAlign w:val="baseline"/>
                <w:lang w:eastAsia="zh-CN"/>
              </w:rPr>
            </w:pPr>
            <w:r>
              <w:rPr>
                <w:rFonts w:hint="eastAsia" w:ascii="黑体" w:hAnsi="黑体" w:eastAsia="黑体" w:cs="黑体"/>
                <w:b w:val="0"/>
                <w:bCs w:val="0"/>
                <w:color w:val="auto"/>
                <w:sz w:val="28"/>
                <w:szCs w:val="28"/>
                <w:shd w:val="clear" w:color="auto" w:fill="auto"/>
                <w:vertAlign w:val="baseline"/>
                <w:lang w:eastAsia="zh-CN"/>
              </w:rPr>
              <w:t>政策</w:t>
            </w:r>
          </w:p>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8"/>
                <w:szCs w:val="28"/>
                <w:shd w:val="clear" w:color="auto" w:fill="auto"/>
                <w:vertAlign w:val="baseline"/>
                <w:lang w:eastAsia="zh-CN"/>
              </w:rPr>
            </w:pPr>
            <w:r>
              <w:rPr>
                <w:rFonts w:hint="eastAsia" w:ascii="黑体" w:hAnsi="黑体" w:eastAsia="黑体" w:cs="黑体"/>
                <w:b w:val="0"/>
                <w:bCs w:val="0"/>
                <w:color w:val="auto"/>
                <w:sz w:val="28"/>
                <w:szCs w:val="28"/>
                <w:shd w:val="clear" w:color="auto" w:fill="auto"/>
                <w:vertAlign w:val="baseline"/>
                <w:lang w:eastAsia="zh-CN"/>
              </w:rPr>
              <w:t>机制</w:t>
            </w:r>
          </w:p>
        </w:tc>
        <w:tc>
          <w:tcPr>
            <w:tcW w:w="1604"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8"/>
                <w:szCs w:val="28"/>
                <w:shd w:val="clear" w:color="auto" w:fill="auto"/>
                <w:vertAlign w:val="baseline"/>
                <w:lang w:eastAsia="zh-CN"/>
              </w:rPr>
            </w:pPr>
            <w:r>
              <w:rPr>
                <w:rFonts w:hint="eastAsia" w:ascii="黑体" w:hAnsi="黑体" w:eastAsia="黑体" w:cs="黑体"/>
                <w:b w:val="0"/>
                <w:bCs w:val="0"/>
                <w:color w:val="auto"/>
                <w:sz w:val="28"/>
                <w:szCs w:val="28"/>
                <w:shd w:val="clear" w:color="auto" w:fill="auto"/>
                <w:vertAlign w:val="baseline"/>
                <w:lang w:eastAsia="zh-CN"/>
              </w:rPr>
              <w:t>主要</w:t>
            </w:r>
          </w:p>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8"/>
                <w:szCs w:val="28"/>
                <w:shd w:val="clear" w:color="auto" w:fill="auto"/>
                <w:vertAlign w:val="baseline"/>
                <w:lang w:eastAsia="zh-CN"/>
              </w:rPr>
            </w:pPr>
            <w:r>
              <w:rPr>
                <w:rFonts w:hint="eastAsia" w:ascii="黑体" w:hAnsi="黑体" w:eastAsia="黑体" w:cs="黑体"/>
                <w:b w:val="0"/>
                <w:bCs w:val="0"/>
                <w:color w:val="auto"/>
                <w:sz w:val="28"/>
                <w:szCs w:val="28"/>
                <w:shd w:val="clear" w:color="auto" w:fill="auto"/>
                <w:vertAlign w:val="baseline"/>
                <w:lang w:eastAsia="zh-CN"/>
              </w:rPr>
              <w:t>举措</w:t>
            </w:r>
          </w:p>
        </w:tc>
        <w:tc>
          <w:tcPr>
            <w:tcW w:w="10740"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8"/>
                <w:szCs w:val="28"/>
                <w:shd w:val="clear" w:color="auto" w:fill="auto"/>
                <w:vertAlign w:val="baseline"/>
                <w:lang w:eastAsia="zh-CN"/>
              </w:rPr>
            </w:pPr>
            <w:r>
              <w:rPr>
                <w:rFonts w:hint="eastAsia" w:ascii="黑体" w:hAnsi="黑体" w:eastAsia="黑体" w:cs="黑体"/>
                <w:b w:val="0"/>
                <w:bCs w:val="0"/>
                <w:color w:val="auto"/>
                <w:sz w:val="28"/>
                <w:szCs w:val="28"/>
                <w:shd w:val="clear" w:color="auto" w:fill="auto"/>
                <w:vertAlign w:val="baseline"/>
                <w:lang w:eastAsia="zh-CN"/>
              </w:rPr>
              <w:t>具体做法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0" w:hRule="atLeast"/>
        </w:trPr>
        <w:tc>
          <w:tcPr>
            <w:tcW w:w="4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both"/>
              <w:textAlignment w:val="auto"/>
              <w:outlineLvl w:val="9"/>
              <w:rPr>
                <w:rFonts w:hint="eastAsia" w:ascii="黑体" w:hAnsi="黑体" w:eastAsia="黑体" w:cs="黑体"/>
                <w:color w:val="auto"/>
                <w:sz w:val="24"/>
                <w:szCs w:val="24"/>
                <w:shd w:val="clear" w:color="auto" w:fill="auto"/>
                <w:vertAlign w:val="baseline"/>
                <w:lang w:val="en-US" w:eastAsia="zh-CN"/>
              </w:rPr>
            </w:pPr>
            <w:r>
              <w:rPr>
                <w:rFonts w:hint="eastAsia" w:ascii="黑体" w:hAnsi="黑体" w:eastAsia="黑体" w:cs="黑体"/>
                <w:color w:val="auto"/>
                <w:sz w:val="24"/>
                <w:szCs w:val="24"/>
                <w:shd w:val="clear" w:color="auto" w:fill="auto"/>
                <w:vertAlign w:val="baseline"/>
                <w:lang w:val="en-US" w:eastAsia="zh-CN"/>
              </w:rPr>
              <w:t>一</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4"/>
                <w:szCs w:val="24"/>
                <w:shd w:val="clear" w:color="auto" w:fill="auto"/>
                <w:vertAlign w:val="baseline"/>
              </w:rPr>
            </w:pPr>
            <w:r>
              <w:rPr>
                <w:rFonts w:hint="eastAsia" w:ascii="黑体" w:hAnsi="黑体" w:eastAsia="黑体" w:cs="黑体"/>
                <w:b w:val="0"/>
                <w:bCs w:val="0"/>
                <w:color w:val="auto"/>
                <w:sz w:val="24"/>
                <w:szCs w:val="24"/>
                <w:shd w:val="clear" w:color="auto" w:fill="auto"/>
                <w:vertAlign w:val="baseline"/>
                <w:lang w:eastAsia="zh-CN"/>
              </w:rPr>
              <w:t>建立城市更新统筹谋划机制</w:t>
            </w:r>
          </w:p>
        </w:tc>
        <w:tc>
          <w:tcPr>
            <w:tcW w:w="1604"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both"/>
              <w:textAlignment w:val="auto"/>
              <w:outlineLvl w:val="9"/>
              <w:rPr>
                <w:rFonts w:hint="eastAsia" w:ascii="楷体_GB2312" w:hAnsi="楷体_GB2312" w:eastAsia="楷体_GB2312" w:cs="楷体_GB2312"/>
                <w:b/>
                <w:bCs/>
                <w:color w:val="auto"/>
                <w:sz w:val="24"/>
                <w:szCs w:val="24"/>
                <w:shd w:val="clear" w:color="auto" w:fill="auto"/>
                <w:vertAlign w:val="baseline"/>
                <w:lang w:val="en-US" w:eastAsia="zh-CN"/>
              </w:rPr>
            </w:pPr>
            <w:r>
              <w:rPr>
                <w:rFonts w:hint="eastAsia" w:ascii="楷体_GB2312" w:hAnsi="楷体_GB2312" w:eastAsia="楷体_GB2312" w:cs="楷体_GB2312"/>
                <w:b/>
                <w:bCs/>
                <w:color w:val="auto"/>
                <w:sz w:val="24"/>
                <w:szCs w:val="24"/>
                <w:shd w:val="clear" w:color="auto" w:fill="auto"/>
                <w:vertAlign w:val="baseline"/>
                <w:lang w:eastAsia="zh-CN"/>
              </w:rPr>
              <w:t>（一）加强工作统筹和督查考核</w:t>
            </w:r>
          </w:p>
        </w:tc>
        <w:tc>
          <w:tcPr>
            <w:tcW w:w="10740"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ind w:firstLine="482" w:firstLineChars="200"/>
              <w:jc w:val="both"/>
              <w:textAlignment w:val="auto"/>
              <w:outlineLvl w:val="9"/>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1．北京市党委、政府主要负责同志亲自推动。</w:t>
            </w: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在市委城市工作委员会下设城市更新专项小组，市委书记亲自谋划，市委副书记、市长任组长</w:t>
            </w:r>
            <w:r>
              <w:rPr>
                <w:rFonts w:hint="eastAsia" w:ascii="仿宋_GB2312" w:hAnsi="仿宋_GB2312" w:eastAsia="仿宋_GB2312" w:cs="仿宋_GB2312"/>
                <w:b w:val="0"/>
                <w:bCs w:val="0"/>
                <w:color w:val="auto"/>
                <w:sz w:val="24"/>
                <w:szCs w:val="24"/>
                <w:shd w:val="clear" w:color="auto" w:fill="auto"/>
                <w:vertAlign w:val="baseline"/>
                <w:lang w:val="en-US" w:eastAsia="zh-CN"/>
              </w:rPr>
              <w:t>，小组内设有推动实施、规划政策、资金支持3个工作专班，负责部署年度重点工作，协调支持政策，督促工作落实。各区政府成立城市更新专项工作小组，统筹协调实施城市更新。</w:t>
            </w:r>
          </w:p>
          <w:p>
            <w:pPr>
              <w:keepNext w:val="0"/>
              <w:keepLines w:val="0"/>
              <w:pageBreakBefore w:val="0"/>
              <w:widowControl w:val="0"/>
              <w:kinsoku/>
              <w:wordWrap/>
              <w:overflowPunct/>
              <w:topLinePunct w:val="0"/>
              <w:autoSpaceDE/>
              <w:autoSpaceDN/>
              <w:bidi w:val="0"/>
              <w:adjustRightInd/>
              <w:snapToGrid/>
              <w:spacing w:afterLines="0" w:line="320" w:lineRule="exact"/>
              <w:ind w:firstLine="482" w:firstLineChars="200"/>
              <w:jc w:val="both"/>
              <w:textAlignment w:val="auto"/>
              <w:outlineLvl w:val="9"/>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2．山东省潍坊市建立城市更新工作联席会议制度。</w:t>
            </w:r>
            <w:r>
              <w:rPr>
                <w:rFonts w:hint="eastAsia" w:ascii="仿宋_GB2312" w:hAnsi="仿宋_GB2312" w:eastAsia="仿宋_GB2312" w:cs="仿宋_GB2312"/>
                <w:b w:val="0"/>
                <w:bCs w:val="0"/>
                <w:color w:val="auto"/>
                <w:sz w:val="24"/>
                <w:szCs w:val="24"/>
                <w:shd w:val="clear" w:color="auto" w:fill="auto"/>
                <w:vertAlign w:val="baseline"/>
                <w:lang w:val="en-US" w:eastAsia="zh-CN"/>
              </w:rPr>
              <w:t>市长为召集人，分管市长为副召集人，市发改、住建、工信、教育、财政、自资、文旅等19个市直部门单位和各区主要负责同志为成员，负责统筹推进城市更新工作，协调解决遇到的困难问题，形成上下协同、各司其职、统筹推进的工作机制。</w:t>
            </w:r>
          </w:p>
          <w:p>
            <w:pPr>
              <w:keepNext w:val="0"/>
              <w:keepLines w:val="0"/>
              <w:pageBreakBefore w:val="0"/>
              <w:widowControl w:val="0"/>
              <w:kinsoku/>
              <w:wordWrap/>
              <w:overflowPunct/>
              <w:topLinePunct w:val="0"/>
              <w:autoSpaceDE/>
              <w:autoSpaceDN/>
              <w:bidi w:val="0"/>
              <w:adjustRightInd/>
              <w:snapToGrid/>
              <w:spacing w:afterLines="0" w:line="320" w:lineRule="exact"/>
              <w:ind w:firstLine="482" w:firstLineChars="200"/>
              <w:jc w:val="both"/>
              <w:textAlignment w:val="auto"/>
              <w:outlineLvl w:val="9"/>
              <w:rPr>
                <w:rFonts w:hint="eastAsia" w:ascii="仿宋_GB2312" w:hAnsi="仿宋_GB2312" w:eastAsia="仿宋_GB2312" w:cs="仿宋_GB2312"/>
                <w:b w:val="0"/>
                <w:bCs w:val="0"/>
                <w:color w:val="auto"/>
                <w:sz w:val="24"/>
                <w:shd w:val="clear" w:color="auto" w:fill="auto"/>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3．宁夏回族自治区银川市强化城市更新工作考核。</w:t>
            </w:r>
            <w:r>
              <w:rPr>
                <w:rFonts w:hint="eastAsia" w:ascii="仿宋_GB2312" w:hAnsi="仿宋_GB2312" w:eastAsia="仿宋_GB2312" w:cs="仿宋_GB2312"/>
                <w:b w:val="0"/>
                <w:bCs w:val="0"/>
                <w:color w:val="auto"/>
                <w:sz w:val="24"/>
                <w:szCs w:val="24"/>
                <w:shd w:val="clear" w:color="auto" w:fill="auto"/>
                <w:vertAlign w:val="baseline"/>
                <w:lang w:val="en-US" w:eastAsia="zh-CN"/>
              </w:rPr>
              <w:t>制定《城市更新绩效考评细则（试行）》，将实施城市更新工作推进情况纳入各部门年度工作考核体系，城市更新三年行动工作指挥部办公室会同市委、市政府督查室，通过不定期现场抽检项目进度、核查资料，分半年、全年对各成员单位工作进行赋分，计入绩效考核得分，动态监测城市更新实施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color w:val="auto"/>
                <w:sz w:val="24"/>
                <w:szCs w:val="24"/>
                <w:shd w:val="clear" w:color="auto" w:fill="auto"/>
                <w:vertAlign w:val="baseline"/>
                <w:lang w:val="en-US" w:eastAsia="zh-CN"/>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4"/>
                <w:szCs w:val="24"/>
                <w:shd w:val="clear" w:color="auto" w:fill="auto"/>
                <w:vertAlign w:val="baseline"/>
              </w:rPr>
            </w:pPr>
          </w:p>
        </w:tc>
        <w:tc>
          <w:tcPr>
            <w:tcW w:w="1604"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both"/>
              <w:textAlignment w:val="auto"/>
              <w:outlineLvl w:val="9"/>
              <w:rPr>
                <w:rFonts w:hint="default" w:ascii="楷体_GB2312" w:hAnsi="楷体_GB2312" w:eastAsia="楷体_GB2312" w:cs="楷体_GB2312"/>
                <w:b/>
                <w:bCs/>
                <w:color w:val="auto"/>
                <w:kern w:val="2"/>
                <w:sz w:val="24"/>
                <w:szCs w:val="24"/>
                <w:shd w:val="clear" w:color="auto" w:fill="auto"/>
                <w:vertAlign w:val="baseline"/>
                <w:lang w:val="en-US" w:eastAsia="zh-CN" w:bidi="ar-SA"/>
              </w:rPr>
            </w:pPr>
            <w:r>
              <w:rPr>
                <w:rFonts w:hint="eastAsia" w:ascii="楷体_GB2312" w:hAnsi="楷体_GB2312" w:eastAsia="楷体_GB2312" w:cs="楷体_GB2312"/>
                <w:b/>
                <w:bCs/>
                <w:color w:val="auto"/>
                <w:sz w:val="24"/>
                <w:szCs w:val="24"/>
                <w:shd w:val="clear" w:color="auto" w:fill="auto"/>
                <w:vertAlign w:val="baseline"/>
                <w:lang w:val="en-US" w:eastAsia="zh-CN"/>
              </w:rPr>
              <w:t>（二）建立城市更新制度机制</w:t>
            </w:r>
          </w:p>
        </w:tc>
        <w:tc>
          <w:tcPr>
            <w:tcW w:w="10740" w:type="dxa"/>
            <w:noWrap w:val="0"/>
            <w:vAlign w:val="center"/>
          </w:tcPr>
          <w:p>
            <w:pPr>
              <w:pStyle w:val="3"/>
              <w:keepNext w:val="0"/>
              <w:keepLines w:val="0"/>
              <w:pageBreakBefore w:val="0"/>
              <w:widowControl w:val="0"/>
              <w:tabs>
                <w:tab w:val="left" w:pos="8682"/>
              </w:tabs>
              <w:kinsoku/>
              <w:wordWrap/>
              <w:overflowPunct/>
              <w:topLinePunct w:val="0"/>
              <w:autoSpaceDE/>
              <w:autoSpaceDN/>
              <w:bidi w:val="0"/>
              <w:adjustRightInd/>
              <w:snapToGrid/>
              <w:spacing w:afterLines="0" w:line="320" w:lineRule="exact"/>
              <w:ind w:left="0" w:leftChars="0" w:firstLine="482" w:firstLineChars="200"/>
              <w:textAlignment w:val="auto"/>
              <w:outlineLvl w:val="9"/>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bCs/>
                <w:kern w:val="2"/>
                <w:sz w:val="24"/>
                <w:szCs w:val="24"/>
                <w:lang w:val="en-US" w:eastAsia="zh-CN" w:bidi="ar-SA"/>
              </w:rPr>
              <w:t>1</w:t>
            </w:r>
            <w:r>
              <w:rPr>
                <w:rFonts w:hint="eastAsia" w:ascii="仿宋_GB2312" w:hAnsi="仿宋_GB2312" w:eastAsia="仿宋_GB2312" w:cs="仿宋_GB2312"/>
                <w:b/>
                <w:bCs/>
                <w:color w:val="auto"/>
                <w:sz w:val="24"/>
                <w:szCs w:val="24"/>
                <w:shd w:val="clear" w:color="auto" w:fill="auto"/>
                <w:vertAlign w:val="baseline"/>
                <w:lang w:val="en-US" w:eastAsia="zh-CN"/>
              </w:rPr>
              <w:t>．辽宁省</w:t>
            </w:r>
            <w:r>
              <w:rPr>
                <w:rFonts w:hint="eastAsia" w:ascii="仿宋_GB2312" w:hAnsi="仿宋_GB2312" w:eastAsia="仿宋_GB2312" w:cs="仿宋_GB2312"/>
                <w:b/>
                <w:bCs/>
                <w:color w:val="auto"/>
                <w:sz w:val="24"/>
                <w:szCs w:val="24"/>
                <w:highlight w:val="none"/>
                <w:shd w:val="clear" w:color="auto" w:fill="auto"/>
                <w:lang w:val="en-US" w:eastAsia="zh-CN"/>
              </w:rPr>
              <w:t>出台省级城市更新条例</w:t>
            </w:r>
            <w:r>
              <w:rPr>
                <w:rFonts w:hint="eastAsia" w:ascii="仿宋_GB2312" w:hAnsi="仿宋_GB2312" w:eastAsia="仿宋_GB2312" w:cs="仿宋_GB2312"/>
                <w:b/>
                <w:bCs/>
                <w:color w:val="auto"/>
                <w:sz w:val="24"/>
                <w:szCs w:val="24"/>
                <w:shd w:val="clear" w:color="auto" w:fill="auto"/>
                <w:vertAlign w:val="baseline"/>
                <w:lang w:val="en-US" w:eastAsia="zh-CN"/>
              </w:rPr>
              <w:t>。</w:t>
            </w:r>
            <w:r>
              <w:rPr>
                <w:rFonts w:hint="eastAsia" w:ascii="仿宋_GB2312" w:hAnsi="仿宋_GB2312" w:eastAsia="仿宋_GB2312" w:cs="仿宋_GB2312"/>
                <w:b w:val="0"/>
                <w:bCs w:val="0"/>
                <w:color w:val="auto"/>
                <w:sz w:val="24"/>
                <w:szCs w:val="24"/>
                <w:shd w:val="clear" w:color="auto" w:fill="auto"/>
                <w:vertAlign w:val="baseline"/>
                <w:lang w:val="en-US" w:eastAsia="zh-CN"/>
              </w:rPr>
              <w:t>《辽宁省城市更新条例》立足辽宁老工业基地城市特点，明确聚焦绿色低碳、便利宜居、保护传承、提升品质的目标要求，提出加强基础设施和公共设施建设、优化调整区域功能布局和空间格局、提升城市居住品质和人居环境、加强城市历史文化保护、增强城市安全韧性等主要任务，明确</w:t>
            </w: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城市更新工作的组织机制、实施程序和底线要求。</w:t>
            </w:r>
          </w:p>
          <w:p>
            <w:pPr>
              <w:pStyle w:val="3"/>
              <w:keepNext w:val="0"/>
              <w:keepLines w:val="0"/>
              <w:pageBreakBefore w:val="0"/>
              <w:widowControl w:val="0"/>
              <w:tabs>
                <w:tab w:val="left" w:pos="8682"/>
              </w:tabs>
              <w:kinsoku/>
              <w:wordWrap/>
              <w:overflowPunct/>
              <w:topLinePunct w:val="0"/>
              <w:autoSpaceDE/>
              <w:autoSpaceDN/>
              <w:bidi w:val="0"/>
              <w:adjustRightInd/>
              <w:snapToGrid/>
              <w:spacing w:afterLines="0" w:line="320" w:lineRule="exact"/>
              <w:ind w:left="0" w:leftChars="0" w:firstLine="482" w:firstLineChars="200"/>
              <w:textAlignment w:val="auto"/>
              <w:outlineLvl w:val="9"/>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pPr>
            <w:r>
              <w:rPr>
                <w:rFonts w:hint="eastAsia" w:ascii="仿宋_GB2312" w:hAnsi="仿宋_GB2312" w:eastAsia="仿宋_GB2312" w:cs="仿宋_GB2312"/>
                <w:b/>
                <w:bCs/>
                <w:kern w:val="2"/>
                <w:sz w:val="24"/>
                <w:szCs w:val="24"/>
                <w:lang w:val="en-US" w:eastAsia="zh-CN" w:bidi="ar-SA"/>
              </w:rPr>
              <w:t>2</w:t>
            </w:r>
            <w:r>
              <w:rPr>
                <w:rFonts w:hint="eastAsia" w:ascii="仿宋_GB2312" w:hAnsi="仿宋_GB2312" w:eastAsia="仿宋_GB2312" w:cs="仿宋_GB2312"/>
                <w:b/>
                <w:bCs/>
                <w:color w:val="auto"/>
                <w:sz w:val="24"/>
                <w:szCs w:val="24"/>
                <w:shd w:val="clear" w:color="auto" w:fill="auto"/>
                <w:vertAlign w:val="baseline"/>
                <w:lang w:val="en-US" w:eastAsia="zh-CN"/>
              </w:rPr>
              <w:t>．重庆市统筹谋划城市更新制度、机制和政策。</w:t>
            </w:r>
            <w:r>
              <w:rPr>
                <w:rFonts w:hint="eastAsia" w:ascii="仿宋_GB2312" w:hAnsi="仿宋_GB2312" w:eastAsia="仿宋_GB2312" w:cs="仿宋_GB2312"/>
                <w:b w:val="0"/>
                <w:bCs w:val="0"/>
                <w:color w:val="auto"/>
                <w:sz w:val="24"/>
                <w:szCs w:val="24"/>
                <w:shd w:val="clear" w:color="auto" w:fill="auto"/>
                <w:vertAlign w:val="baseline"/>
                <w:lang w:val="en-US" w:eastAsia="zh-CN"/>
              </w:rPr>
              <w:t>出台《重庆市城市更新管理办法》，明确城市更新的工作原则、工作机制、规划计划编制、项目实施等制度要求，针对城市更新多渠道筹资、土地协议出让、产权转移、产业升级、项目一体化开发运营等细</w:t>
            </w: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化提出相关支持政策。</w:t>
            </w:r>
          </w:p>
          <w:p>
            <w:pPr>
              <w:pStyle w:val="3"/>
              <w:keepNext w:val="0"/>
              <w:keepLines w:val="0"/>
              <w:pageBreakBefore w:val="0"/>
              <w:widowControl w:val="0"/>
              <w:kinsoku/>
              <w:wordWrap/>
              <w:overflowPunct/>
              <w:topLinePunct w:val="0"/>
              <w:autoSpaceDE/>
              <w:autoSpaceDN/>
              <w:bidi w:val="0"/>
              <w:adjustRightInd/>
              <w:snapToGrid/>
              <w:spacing w:afterLines="0" w:line="320" w:lineRule="exact"/>
              <w:ind w:left="0" w:leftChars="0" w:firstLine="482" w:firstLineChars="200"/>
              <w:textAlignment w:val="auto"/>
              <w:outlineLvl w:val="9"/>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3．江苏省细化明确城市更新七大任务要求。</w:t>
            </w:r>
            <w:r>
              <w:rPr>
                <w:rFonts w:hint="eastAsia" w:ascii="仿宋_GB2312" w:hAnsi="仿宋_GB2312" w:eastAsia="仿宋_GB2312" w:cs="仿宋_GB2312"/>
                <w:b w:val="0"/>
                <w:bCs w:val="0"/>
                <w:color w:val="auto"/>
                <w:sz w:val="24"/>
                <w:szCs w:val="24"/>
                <w:shd w:val="clear" w:color="auto" w:fill="auto"/>
                <w:vertAlign w:val="baseline"/>
                <w:lang w:val="en-US" w:eastAsia="zh-CN"/>
              </w:rPr>
              <w:t>印发《关于实施城市更新行动的指导意见》，聚焦当前城市发展中普遍存在的突出问题和短板，以化解“城市病”为导向，围绕七项重点工作任务推进城市更新，包括既有建筑安全隐患消除、市政基础设施补短板、老旧住区宜居改善、低效产业用地活力提升、历史文化保护传承、城市生态空间修复、城市数字化智慧化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4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color w:val="auto"/>
                <w:sz w:val="24"/>
                <w:szCs w:val="24"/>
                <w:shd w:val="clear" w:color="auto" w:fill="auto"/>
                <w:vertAlign w:val="baseline"/>
                <w:lang w:val="en-US" w:eastAsia="zh-CN"/>
              </w:rPr>
            </w:pPr>
            <w:r>
              <w:rPr>
                <w:rFonts w:hint="eastAsia" w:ascii="黑体" w:hAnsi="黑体" w:eastAsia="黑体" w:cs="黑体"/>
                <w:color w:val="auto"/>
                <w:sz w:val="24"/>
                <w:szCs w:val="24"/>
                <w:shd w:val="clear" w:color="auto" w:fill="auto"/>
                <w:vertAlign w:val="baseline"/>
                <w:lang w:val="en-US" w:eastAsia="zh-CN"/>
              </w:rPr>
              <w:t>一</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4"/>
                <w:szCs w:val="24"/>
                <w:shd w:val="clear" w:color="auto" w:fill="auto"/>
                <w:vertAlign w:val="baseline"/>
              </w:rPr>
            </w:pPr>
            <w:r>
              <w:rPr>
                <w:rFonts w:hint="eastAsia" w:ascii="黑体" w:hAnsi="黑体" w:eastAsia="黑体" w:cs="黑体"/>
                <w:b w:val="0"/>
                <w:bCs w:val="0"/>
                <w:color w:val="auto"/>
                <w:sz w:val="24"/>
                <w:szCs w:val="24"/>
                <w:shd w:val="clear" w:color="auto" w:fill="auto"/>
                <w:vertAlign w:val="baseline"/>
                <w:lang w:eastAsia="zh-CN"/>
              </w:rPr>
              <w:t>建立城市更新统筹谋划机制</w:t>
            </w:r>
          </w:p>
        </w:tc>
        <w:tc>
          <w:tcPr>
            <w:tcW w:w="1604" w:type="dxa"/>
            <w:noWrap w:val="0"/>
            <w:vAlign w:val="center"/>
          </w:tcPr>
          <w:p>
            <w:pPr>
              <w:pStyle w:val="4"/>
              <w:spacing w:after="0" w:line="320" w:lineRule="exact"/>
              <w:rPr>
                <w:rFonts w:hint="eastAsia"/>
                <w:lang w:val="en-US" w:eastAsia="zh-CN"/>
              </w:rPr>
            </w:pPr>
            <w:r>
              <w:rPr>
                <w:rFonts w:hint="eastAsia" w:ascii="楷体_GB2312" w:hAnsi="楷体_GB2312" w:eastAsia="楷体_GB2312" w:cs="楷体_GB2312"/>
                <w:b/>
                <w:bCs/>
                <w:color w:val="auto"/>
                <w:sz w:val="24"/>
                <w:szCs w:val="24"/>
                <w:shd w:val="clear" w:color="auto" w:fill="auto"/>
                <w:vertAlign w:val="baseline"/>
                <w:lang w:val="en-US" w:eastAsia="zh-CN"/>
              </w:rPr>
              <w:t>（三）将城市体检和城市更新紧密衔接</w:t>
            </w:r>
          </w:p>
        </w:tc>
        <w:tc>
          <w:tcPr>
            <w:tcW w:w="10740"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ind w:firstLine="482" w:firstLineChars="200"/>
              <w:jc w:val="both"/>
              <w:textAlignment w:val="auto"/>
              <w:outlineLvl w:val="9"/>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color w:val="auto"/>
                <w:sz w:val="24"/>
                <w:szCs w:val="24"/>
                <w:shd w:val="clear" w:color="auto" w:fill="auto"/>
                <w:vertAlign w:val="baseline"/>
                <w:lang w:val="en-US" w:eastAsia="zh-CN"/>
              </w:rPr>
              <w:t>．上海市开展市、区两级城市体检评估。</w:t>
            </w:r>
            <w:r>
              <w:rPr>
                <w:rFonts w:hint="eastAsia" w:ascii="仿宋_GB2312" w:hAnsi="仿宋_GB2312" w:eastAsia="仿宋_GB2312" w:cs="仿宋_GB2312"/>
                <w:b w:val="0"/>
                <w:bCs w:val="0"/>
                <w:color w:val="auto"/>
                <w:sz w:val="24"/>
                <w:szCs w:val="24"/>
                <w:shd w:val="clear" w:color="auto" w:fill="auto"/>
                <w:vertAlign w:val="baseline"/>
                <w:lang w:val="en-US" w:eastAsia="zh-CN"/>
              </w:rPr>
              <w:t>建立由“体系构建—数据采集—计算评价—诊断建议—行动落实”等5个环节构建的城市体检闭环流程，</w:t>
            </w:r>
            <w:r>
              <w:rPr>
                <w:rFonts w:hint="eastAsia" w:ascii="仿宋_GB2312" w:hAnsi="仿宋_GB2312" w:eastAsia="仿宋_GB2312" w:cs="仿宋_GB2312"/>
                <w:color w:val="auto"/>
                <w:sz w:val="24"/>
                <w:szCs w:val="24"/>
                <w:shd w:val="clear" w:color="auto" w:fill="auto"/>
                <w:lang w:eastAsia="zh-CN"/>
              </w:rPr>
              <w:t>全面查找存在的不足和问题，提出统筹城市规划、建设、管理，整体推动城市结构优化、功能完善、品质提升的工作方案、行动计划和具体项目</w:t>
            </w: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afterLines="0" w:line="320" w:lineRule="exact"/>
              <w:ind w:firstLine="482" w:firstLineChars="200"/>
              <w:jc w:val="both"/>
              <w:textAlignment w:val="auto"/>
              <w:outlineLvl w:val="9"/>
              <w:rPr>
                <w:rFonts w:hint="eastAsia" w:ascii="仿宋_GB2312" w:hAnsi="仿宋_GB2312" w:eastAsia="仿宋_GB2312" w:cs="仿宋_GB2312"/>
                <w:b w:val="0"/>
                <w:bCs w:val="0"/>
                <w:color w:val="auto"/>
                <w:sz w:val="24"/>
                <w:szCs w:val="24"/>
                <w:highlight w:val="yellow"/>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2．重庆市开展城市更新专项体检。</w:t>
            </w: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在</w:t>
            </w:r>
            <w:r>
              <w:rPr>
                <w:rFonts w:hint="eastAsia" w:ascii="仿宋_GB2312" w:hAnsi="仿宋_GB2312" w:eastAsia="仿宋_GB2312" w:cs="仿宋_GB2312"/>
                <w:b w:val="0"/>
                <w:bCs w:val="0"/>
                <w:color w:val="auto"/>
                <w:sz w:val="24"/>
                <w:szCs w:val="24"/>
                <w:shd w:val="clear" w:color="auto" w:fill="auto"/>
                <w:vertAlign w:val="baseline"/>
                <w:lang w:val="en-US" w:eastAsia="zh-CN"/>
              </w:rPr>
              <w:t>中心城区江北区</w:t>
            </w: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开展</w:t>
            </w:r>
            <w:r>
              <w:rPr>
                <w:rFonts w:hint="eastAsia" w:ascii="仿宋_GB2312" w:hAnsi="仿宋_GB2312" w:eastAsia="仿宋_GB2312" w:cs="仿宋_GB2312"/>
                <w:b w:val="0"/>
                <w:bCs w:val="0"/>
                <w:color w:val="auto"/>
                <w:sz w:val="24"/>
                <w:szCs w:val="24"/>
                <w:shd w:val="clear" w:color="auto" w:fill="auto"/>
                <w:vertAlign w:val="baseline"/>
                <w:lang w:val="en-US" w:eastAsia="zh-CN"/>
              </w:rPr>
              <w:t>专项体检试点，</w:t>
            </w: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增加了</w:t>
            </w:r>
            <w:r>
              <w:rPr>
                <w:rFonts w:hint="eastAsia" w:ascii="仿宋_GB2312" w:hAnsi="仿宋_GB2312" w:eastAsia="仿宋_GB2312" w:cs="仿宋_GB2312"/>
                <w:b w:val="0"/>
                <w:bCs w:val="0"/>
                <w:color w:val="auto"/>
                <w:sz w:val="24"/>
                <w:szCs w:val="24"/>
                <w:shd w:val="clear" w:color="auto" w:fill="auto"/>
                <w:vertAlign w:val="baseline"/>
                <w:lang w:val="en-US" w:eastAsia="zh-CN"/>
              </w:rPr>
              <w:t>更新片区人口密度、开发强度等10项城市更新专项体检指标，辅助城市更新片区策划和项目实施方案的编制，</w:t>
            </w: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建立“摸家底、纳民意、找问题、促更新”的城市体检成果运用模式和“边检边改”的工作机制，推动老百姓关心的问题限时解决。</w:t>
            </w:r>
          </w:p>
          <w:p>
            <w:pPr>
              <w:pStyle w:val="3"/>
              <w:keepNext w:val="0"/>
              <w:keepLines w:val="0"/>
              <w:pageBreakBefore w:val="0"/>
              <w:widowControl w:val="0"/>
              <w:kinsoku/>
              <w:wordWrap/>
              <w:overflowPunct/>
              <w:topLinePunct w:val="0"/>
              <w:autoSpaceDE/>
              <w:autoSpaceDN/>
              <w:bidi w:val="0"/>
              <w:adjustRightInd/>
              <w:snapToGrid/>
              <w:spacing w:afterLines="0" w:line="320" w:lineRule="exact"/>
              <w:ind w:left="0" w:leftChars="0" w:firstLine="482" w:firstLineChars="20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color w:val="auto"/>
                <w:sz w:val="24"/>
                <w:szCs w:val="24"/>
                <w:shd w:val="clear" w:color="auto" w:fill="auto"/>
                <w:vertAlign w:val="baseline"/>
                <w:lang w:val="en-US" w:eastAsia="zh-CN"/>
              </w:rPr>
              <w:t>3．湖南省长沙市把城市体检作为片区更新前置要素。</w:t>
            </w:r>
            <w:r>
              <w:rPr>
                <w:rFonts w:hint="eastAsia" w:ascii="仿宋_GB2312" w:hAnsi="仿宋_GB2312" w:eastAsia="仿宋_GB2312" w:cs="仿宋_GB2312"/>
                <w:b w:val="0"/>
                <w:bCs w:val="0"/>
                <w:color w:val="auto"/>
                <w:sz w:val="24"/>
                <w:szCs w:val="24"/>
                <w:shd w:val="clear" w:color="auto" w:fill="auto"/>
                <w:vertAlign w:val="baseline"/>
                <w:lang w:val="en-US" w:eastAsia="zh-CN"/>
              </w:rPr>
              <w:t>坚持“无体检不项目，无体检不更新”，采取“六步工作法”，开展城市体检、完善组织机制、编制规划计划、分类实施更新、实施动态监测、发布宜居指数，将城市体检作为城市更新项目实施的立项前置条件，对症下药治理“城市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4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color w:val="auto"/>
                <w:sz w:val="24"/>
                <w:szCs w:val="24"/>
                <w:shd w:val="clear" w:color="auto" w:fill="auto"/>
                <w:vertAlign w:val="baseline"/>
                <w:lang w:val="en-US" w:eastAsia="zh-CN"/>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4"/>
                <w:szCs w:val="24"/>
                <w:shd w:val="clear" w:color="auto" w:fill="auto"/>
                <w:vertAlign w:val="baseline"/>
              </w:rPr>
            </w:pPr>
          </w:p>
        </w:tc>
        <w:tc>
          <w:tcPr>
            <w:tcW w:w="1604" w:type="dxa"/>
            <w:noWrap w:val="0"/>
            <w:vAlign w:val="center"/>
          </w:tcPr>
          <w:p>
            <w:pPr>
              <w:pStyle w:val="4"/>
              <w:spacing w:line="320" w:lineRule="exact"/>
              <w:rPr>
                <w:rFonts w:hint="eastAsia" w:ascii="楷体_GB2312" w:hAnsi="楷体_GB2312" w:eastAsia="楷体_GB2312" w:cs="楷体_GB2312"/>
                <w:b/>
                <w:bCs/>
                <w:color w:val="auto"/>
                <w:sz w:val="24"/>
                <w:szCs w:val="24"/>
                <w:shd w:val="clear" w:color="auto" w:fill="auto"/>
                <w:vertAlign w:val="baseline"/>
                <w:lang w:val="en-US" w:eastAsia="zh-CN"/>
              </w:rPr>
            </w:pPr>
            <w:r>
              <w:rPr>
                <w:rFonts w:hint="eastAsia" w:ascii="楷体_GB2312" w:hAnsi="楷体_GB2312" w:eastAsia="楷体_GB2312" w:cs="楷体_GB2312"/>
                <w:b/>
                <w:bCs/>
                <w:color w:val="auto"/>
                <w:sz w:val="24"/>
                <w:szCs w:val="24"/>
                <w:shd w:val="clear" w:color="auto" w:fill="auto"/>
                <w:vertAlign w:val="baseline"/>
                <w:lang w:val="en-US" w:eastAsia="zh-CN"/>
              </w:rPr>
              <w:t>（四）</w:t>
            </w:r>
            <w:r>
              <w:rPr>
                <w:rFonts w:hint="eastAsia" w:ascii="楷体_GB2312" w:hAnsi="楷体_GB2312" w:eastAsia="楷体_GB2312" w:cs="楷体_GB2312"/>
                <w:b/>
                <w:bCs/>
                <w:color w:val="auto"/>
                <w:sz w:val="24"/>
                <w:szCs w:val="24"/>
                <w:highlight w:val="none"/>
                <w:shd w:val="clear" w:color="auto" w:fill="auto"/>
                <w:vertAlign w:val="baseline"/>
                <w:lang w:val="en-US" w:eastAsia="zh-CN"/>
              </w:rPr>
              <w:t>建立城市更新规划编制和实施工作体系</w:t>
            </w:r>
          </w:p>
        </w:tc>
        <w:tc>
          <w:tcPr>
            <w:tcW w:w="10740"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ind w:firstLine="482" w:firstLineChars="200"/>
              <w:jc w:val="both"/>
              <w:textAlignment w:val="auto"/>
              <w:outlineLvl w:val="9"/>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color w:val="auto"/>
                <w:sz w:val="24"/>
                <w:szCs w:val="24"/>
                <w:shd w:val="clear" w:color="auto" w:fill="auto"/>
                <w:vertAlign w:val="baseline"/>
                <w:lang w:val="en-US" w:eastAsia="zh-CN"/>
              </w:rPr>
              <w:t>．北京市建立“总体规划—专项规划—街区控规—更新项目实施方案”</w:t>
            </w:r>
            <w:r>
              <w:rPr>
                <w:rFonts w:hint="eastAsia" w:ascii="仿宋_GB2312" w:hAnsi="仿宋_GB2312" w:eastAsia="仿宋_GB2312" w:cs="仿宋_GB2312"/>
                <w:b/>
                <w:bCs/>
                <w:color w:val="auto"/>
                <w:sz w:val="24"/>
                <w:szCs w:val="24"/>
                <w:highlight w:val="none"/>
                <w:shd w:val="clear" w:color="auto" w:fill="auto"/>
                <w:vertAlign w:val="baseline"/>
                <w:lang w:val="en-US" w:eastAsia="zh-CN"/>
              </w:rPr>
              <w:t>的城市更新工作体系</w:t>
            </w:r>
            <w:r>
              <w:rPr>
                <w:rFonts w:hint="eastAsia" w:ascii="仿宋_GB2312" w:hAnsi="仿宋_GB2312" w:eastAsia="仿宋_GB2312" w:cs="仿宋_GB2312"/>
                <w:b/>
                <w:bCs/>
                <w:color w:val="auto"/>
                <w:sz w:val="24"/>
                <w:szCs w:val="24"/>
                <w:shd w:val="clear" w:color="auto" w:fill="auto"/>
                <w:vertAlign w:val="baseline"/>
                <w:lang w:val="en-US" w:eastAsia="zh-CN"/>
              </w:rPr>
              <w:t>。</w:t>
            </w:r>
            <w:r>
              <w:rPr>
                <w:rFonts w:hint="eastAsia" w:ascii="仿宋_GB2312" w:hAnsi="仿宋_GB2312" w:eastAsia="仿宋_GB2312" w:cs="仿宋_GB2312"/>
                <w:b w:val="0"/>
                <w:bCs w:val="0"/>
                <w:color w:val="auto"/>
                <w:sz w:val="24"/>
                <w:szCs w:val="24"/>
                <w:shd w:val="clear" w:color="auto" w:fill="auto"/>
                <w:vertAlign w:val="baseline"/>
                <w:lang w:val="en-US" w:eastAsia="zh-CN"/>
              </w:rPr>
              <w:t>印发《北京市城市更新专项规划》，将专项规划作为落实总体规划的重要手段和指导编制街区控规、更新项目实施方案的重要依据，突出减量发展要求，细化提出首都功能核心区、中心城区等城市不同圈层更新的目标方向，统筹空间资源与更新任务、统筹规划编审与行动计划、统筹项目实施与政策机制、统筹实施主体与管理部门。</w:t>
            </w:r>
          </w:p>
          <w:p>
            <w:pPr>
              <w:keepNext w:val="0"/>
              <w:keepLines w:val="0"/>
              <w:pageBreakBefore w:val="0"/>
              <w:widowControl w:val="0"/>
              <w:kinsoku/>
              <w:wordWrap/>
              <w:overflowPunct/>
              <w:topLinePunct w:val="0"/>
              <w:autoSpaceDE/>
              <w:autoSpaceDN/>
              <w:bidi w:val="0"/>
              <w:adjustRightInd/>
              <w:snapToGrid/>
              <w:spacing w:afterLines="0" w:line="320" w:lineRule="exact"/>
              <w:ind w:firstLine="482" w:firstLineChars="200"/>
              <w:jc w:val="both"/>
              <w:textAlignment w:val="auto"/>
              <w:outlineLvl w:val="9"/>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2．</w:t>
            </w:r>
            <w:r>
              <w:rPr>
                <w:rFonts w:hint="eastAsia" w:ascii="仿宋_GB2312" w:hAnsi="仿宋_GB2312" w:eastAsia="仿宋_GB2312" w:cs="仿宋_GB2312"/>
                <w:b/>
                <w:bCs/>
                <w:color w:val="auto"/>
                <w:sz w:val="24"/>
                <w:szCs w:val="24"/>
                <w:highlight w:val="none"/>
                <w:shd w:val="clear" w:color="auto" w:fill="auto"/>
                <w:lang w:val="en-US" w:eastAsia="zh-CN"/>
              </w:rPr>
              <w:t>江苏省南京市探</w:t>
            </w:r>
            <w:r>
              <w:rPr>
                <w:rFonts w:hint="eastAsia" w:ascii="仿宋_GB2312" w:hAnsi="仿宋_GB2312" w:eastAsia="仿宋_GB2312" w:cs="仿宋_GB2312"/>
                <w:b/>
                <w:bCs/>
                <w:sz w:val="24"/>
                <w:szCs w:val="24"/>
                <w:highlight w:val="none"/>
                <w:lang w:val="en-US" w:eastAsia="zh-CN"/>
              </w:rPr>
              <w:t>索全链条城市更新项目实施体系。</w:t>
            </w:r>
            <w:r>
              <w:rPr>
                <w:rFonts w:hint="eastAsia" w:ascii="仿宋_GB2312" w:hAnsi="仿宋_GB2312" w:eastAsia="仿宋_GB2312" w:cs="仿宋_GB2312"/>
                <w:b w:val="0"/>
                <w:bCs w:val="0"/>
                <w:sz w:val="24"/>
                <w:szCs w:val="24"/>
                <w:highlight w:val="none"/>
                <w:lang w:val="en-US" w:eastAsia="zh-CN"/>
              </w:rPr>
              <w:t>构建“单元规划—体检评估—城市设计—特色片区—计划储备—方案设计—项目实施—监督管理—常态运营”的实施体系，整体谋划、系统推进城市更新。注重城市设计引导，划定特色更新片区，围绕城市体检评估出的问题针对性开展实施阶段的城市设计及更新策划，探索“城市设计—可研方案—规划方案—初步设计—施工图设计”的联动管理机制。</w:t>
            </w:r>
          </w:p>
          <w:p>
            <w:pPr>
              <w:keepNext w:val="0"/>
              <w:keepLines w:val="0"/>
              <w:pageBreakBefore w:val="0"/>
              <w:widowControl w:val="0"/>
              <w:kinsoku/>
              <w:wordWrap/>
              <w:overflowPunct/>
              <w:topLinePunct w:val="0"/>
              <w:autoSpaceDE/>
              <w:autoSpaceDN/>
              <w:bidi w:val="0"/>
              <w:adjustRightInd/>
              <w:snapToGrid/>
              <w:spacing w:afterLines="0" w:line="320" w:lineRule="exact"/>
              <w:ind w:firstLine="482" w:firstLineChars="200"/>
              <w:jc w:val="both"/>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color w:val="auto"/>
                <w:sz w:val="24"/>
                <w:szCs w:val="24"/>
                <w:shd w:val="clear" w:color="auto" w:fill="auto"/>
                <w:vertAlign w:val="baseline"/>
                <w:lang w:val="en-US" w:eastAsia="zh-CN"/>
              </w:rPr>
              <w:t>3．江西省建立城市更新规划编制体系。</w:t>
            </w: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印发《江西省</w:t>
            </w:r>
            <w:r>
              <w:rPr>
                <w:rFonts w:hint="eastAsia" w:ascii="仿宋_GB2312" w:hAnsi="仿宋_GB2312" w:eastAsia="仿宋_GB2312" w:cs="仿宋_GB2312"/>
                <w:b w:val="0"/>
                <w:bCs w:val="0"/>
                <w:color w:val="auto"/>
                <w:sz w:val="24"/>
                <w:szCs w:val="24"/>
                <w:shd w:val="clear" w:color="auto" w:fill="auto"/>
                <w:vertAlign w:val="baseline"/>
                <w:lang w:val="en-US" w:eastAsia="zh-CN"/>
              </w:rPr>
              <w:t>城市更新规划编制指南（试行）》，提出城市更新规划、城市更新行动计划、城市更新项目实施方案等的编制组织程序、主要内容、技术要点和成果要求，规范城市更新规划计划的编制和实施工作。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5" w:hRule="atLeast"/>
        </w:trPr>
        <w:tc>
          <w:tcPr>
            <w:tcW w:w="4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color w:val="auto"/>
                <w:sz w:val="24"/>
                <w:szCs w:val="24"/>
                <w:shd w:val="clear" w:color="auto" w:fill="auto"/>
                <w:vertAlign w:val="baseline"/>
                <w:lang w:val="en-US" w:eastAsia="zh-CN"/>
              </w:rPr>
            </w:pPr>
            <w:r>
              <w:rPr>
                <w:rFonts w:hint="eastAsia" w:ascii="黑体" w:hAnsi="黑体" w:eastAsia="黑体" w:cs="黑体"/>
                <w:color w:val="auto"/>
                <w:sz w:val="24"/>
                <w:szCs w:val="24"/>
                <w:shd w:val="clear" w:color="auto" w:fill="auto"/>
                <w:vertAlign w:val="baseline"/>
                <w:lang w:val="en-US" w:eastAsia="zh-CN"/>
              </w:rPr>
              <w:t>二</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both"/>
              <w:textAlignment w:val="auto"/>
              <w:outlineLvl w:val="9"/>
              <w:rPr>
                <w:rFonts w:hint="eastAsia" w:ascii="黑体" w:hAnsi="黑体" w:eastAsia="黑体" w:cs="黑体"/>
                <w:b w:val="0"/>
                <w:bCs w:val="0"/>
                <w:color w:val="auto"/>
                <w:sz w:val="24"/>
                <w:szCs w:val="24"/>
                <w:shd w:val="clear" w:color="auto" w:fill="auto"/>
                <w:vertAlign w:val="baseline"/>
                <w:lang w:eastAsia="zh-CN"/>
              </w:rPr>
            </w:pPr>
            <w:r>
              <w:rPr>
                <w:rFonts w:hint="eastAsia" w:ascii="黑体" w:hAnsi="黑体" w:eastAsia="黑体" w:cs="黑体"/>
                <w:b w:val="0"/>
                <w:bCs w:val="0"/>
                <w:color w:val="auto"/>
                <w:sz w:val="24"/>
                <w:szCs w:val="24"/>
                <w:shd w:val="clear" w:color="auto" w:fill="auto"/>
                <w:vertAlign w:val="baseline"/>
                <w:lang w:eastAsia="zh-CN"/>
              </w:rPr>
              <w:t>建立政府引导、市场运作、公众参与的可持续实施模式</w:t>
            </w:r>
          </w:p>
        </w:tc>
        <w:tc>
          <w:tcPr>
            <w:tcW w:w="1604"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both"/>
              <w:textAlignment w:val="auto"/>
              <w:outlineLvl w:val="9"/>
              <w:rPr>
                <w:rFonts w:hint="eastAsia" w:ascii="楷体_GB2312" w:hAnsi="楷体_GB2312" w:eastAsia="楷体_GB2312" w:cs="楷体_GB2312"/>
                <w:b/>
                <w:bCs/>
                <w:color w:val="auto"/>
                <w:sz w:val="24"/>
                <w:szCs w:val="24"/>
                <w:shd w:val="clear" w:color="auto" w:fill="auto"/>
                <w:vertAlign w:val="baseline"/>
                <w:lang w:val="en-US" w:eastAsia="zh-CN"/>
              </w:rPr>
            </w:pPr>
            <w:r>
              <w:rPr>
                <w:rFonts w:hint="eastAsia" w:ascii="楷体_GB2312" w:hAnsi="楷体_GB2312" w:eastAsia="楷体_GB2312" w:cs="楷体_GB2312"/>
                <w:b/>
                <w:bCs/>
                <w:color w:val="auto"/>
                <w:sz w:val="24"/>
                <w:szCs w:val="24"/>
                <w:shd w:val="clear" w:color="auto" w:fill="auto"/>
                <w:vertAlign w:val="baseline"/>
                <w:lang w:val="en-US" w:eastAsia="zh-CN"/>
              </w:rPr>
              <w:t>（一）建立存量资源统筹协调机制</w:t>
            </w:r>
          </w:p>
          <w:p>
            <w:pPr>
              <w:keepNext w:val="0"/>
              <w:keepLines w:val="0"/>
              <w:pageBreakBefore w:val="0"/>
              <w:widowControl w:val="0"/>
              <w:numPr>
                <w:ilvl w:val="0"/>
                <w:numId w:val="0"/>
              </w:numPr>
              <w:kinsoku/>
              <w:wordWrap/>
              <w:overflowPunct/>
              <w:topLinePunct w:val="0"/>
              <w:autoSpaceDE/>
              <w:autoSpaceDN/>
              <w:bidi w:val="0"/>
              <w:adjustRightInd/>
              <w:snapToGrid/>
              <w:spacing w:afterLines="0" w:line="320" w:lineRule="exact"/>
              <w:jc w:val="both"/>
              <w:textAlignment w:val="auto"/>
              <w:outlineLvl w:val="9"/>
              <w:rPr>
                <w:rFonts w:hint="eastAsia" w:ascii="楷体_GB2312" w:hAnsi="楷体_GB2312" w:eastAsia="楷体_GB2312" w:cs="楷体_GB2312"/>
                <w:b/>
                <w:bCs/>
                <w:color w:val="auto"/>
                <w:sz w:val="24"/>
                <w:szCs w:val="24"/>
                <w:shd w:val="clear" w:color="auto" w:fill="auto"/>
                <w:vertAlign w:val="baseline"/>
                <w:lang w:val="en-US" w:eastAsia="zh-CN"/>
              </w:rPr>
            </w:pPr>
          </w:p>
        </w:tc>
        <w:tc>
          <w:tcPr>
            <w:tcW w:w="10740" w:type="dxa"/>
            <w:noWrap w:val="0"/>
            <w:vAlign w:val="center"/>
          </w:tcPr>
          <w:p>
            <w:pPr>
              <w:pStyle w:val="3"/>
              <w:widowControl w:val="0"/>
              <w:shd w:val="clear" w:color="auto" w:fill="auto"/>
              <w:spacing w:afterLines="0" w:line="320" w:lineRule="exact"/>
              <w:ind w:firstLine="482" w:firstLineChars="200"/>
              <w:outlineLvl w:val="9"/>
              <w:rPr>
                <w:rFonts w:hint="eastAsia" w:ascii="仿宋_GB2312" w:hAnsi="仿宋_GB2312" w:eastAsia="仿宋_GB2312" w:cs="仿宋_GB2312"/>
                <w:color w:val="auto"/>
                <w:shd w:val="clear" w:color="auto" w:fill="auto"/>
              </w:rPr>
            </w:pPr>
            <w:r>
              <w:rPr>
                <w:rFonts w:hint="eastAsia" w:ascii="仿宋_GB2312" w:hAnsi="仿宋_GB2312" w:eastAsia="仿宋_GB2312" w:cs="仿宋_GB2312"/>
                <w:b/>
                <w:bCs/>
                <w:color w:val="auto"/>
                <w:sz w:val="24"/>
                <w:szCs w:val="24"/>
                <w:shd w:val="clear" w:color="auto" w:fill="auto"/>
                <w:vertAlign w:val="baseline"/>
                <w:lang w:val="en-US" w:eastAsia="zh-CN"/>
              </w:rPr>
              <w:t>1．辽宁省沈阳市探索</w:t>
            </w:r>
            <w:r>
              <w:rPr>
                <w:rFonts w:hint="eastAsia" w:ascii="仿宋_GB2312" w:hAnsi="仿宋_GB2312" w:eastAsia="仿宋_GB2312" w:cs="仿宋_GB2312"/>
                <w:b/>
                <w:bCs/>
                <w:color w:val="auto"/>
                <w:kern w:val="2"/>
                <w:sz w:val="24"/>
                <w:szCs w:val="24"/>
                <w:shd w:val="clear" w:color="auto" w:fill="auto"/>
                <w:vertAlign w:val="baseline"/>
                <w:lang w:val="en-US" w:eastAsia="zh-CN" w:bidi="ar-SA"/>
              </w:rPr>
              <w:t>跨项目统筹运作模式。</w:t>
            </w:r>
            <w:r>
              <w:rPr>
                <w:rFonts w:hint="eastAsia" w:ascii="仿宋_GB2312" w:hAnsi="仿宋_GB2312" w:eastAsia="仿宋_GB2312" w:cs="仿宋_GB2312"/>
                <w:b w:val="0"/>
                <w:bCs w:val="0"/>
                <w:color w:val="auto"/>
                <w:kern w:val="2"/>
                <w:sz w:val="24"/>
                <w:szCs w:val="24"/>
                <w:shd w:val="clear" w:color="auto" w:fill="auto"/>
                <w:vertAlign w:val="baseline"/>
                <w:lang w:val="en-US" w:eastAsia="zh-CN" w:bidi="ar-SA"/>
              </w:rPr>
              <w:t>允许在行政区域范围内跨项目统筹、开发运营一体化的运作模式，实行统一规划、统一实施、统一运营。对改造任务重、经济无法平衡的，与储备地块组合进行综合平衡，按照土地管理权限报同级政府同意后，通过统筹、联动改造实现平衡。如，将</w:t>
            </w:r>
            <w:r>
              <w:rPr>
                <w:rFonts w:hint="eastAsia" w:ascii="仿宋_GB2312" w:hAnsi="仿宋_GB2312" w:eastAsia="仿宋_GB2312" w:cs="仿宋_GB2312"/>
                <w:color w:val="auto"/>
                <w:kern w:val="2"/>
                <w:sz w:val="24"/>
                <w:szCs w:val="24"/>
                <w:shd w:val="clear" w:color="auto" w:fill="auto"/>
                <w:lang w:val="en-US" w:eastAsia="zh-CN" w:bidi="ar-SA"/>
              </w:rPr>
              <w:t>和平区太原街地区划定为城市核心发展板块，将板块内125公顷历史文化街区保护、101万平方米老旧小区改造、31个口袋公园等民生公益项目，与6个储备地块、10处低效用房项目进行组合开发，通过协议搬迁、先租后出让、带产业条件出让等多种方式，统筹进行跨项目运作实现收益平衡。</w:t>
            </w:r>
          </w:p>
          <w:p>
            <w:pPr>
              <w:pStyle w:val="3"/>
              <w:keepNext w:val="0"/>
              <w:keepLines w:val="0"/>
              <w:pageBreakBefore w:val="0"/>
              <w:widowControl w:val="0"/>
              <w:kinsoku/>
              <w:wordWrap/>
              <w:overflowPunct/>
              <w:topLinePunct w:val="0"/>
              <w:autoSpaceDE/>
              <w:autoSpaceDN/>
              <w:bidi w:val="0"/>
              <w:adjustRightInd/>
              <w:snapToGrid/>
              <w:spacing w:afterLines="0" w:line="320" w:lineRule="exact"/>
              <w:ind w:left="0" w:leftChars="0" w:firstLine="482" w:firstLineChars="200"/>
              <w:textAlignment w:val="auto"/>
              <w:outlineLvl w:val="9"/>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2．安徽省合肥市探索片区更新“肥瘦搭配”模式。</w:t>
            </w:r>
            <w:r>
              <w:rPr>
                <w:rFonts w:hint="eastAsia" w:ascii="仿宋_GB2312" w:hAnsi="仿宋_GB2312" w:eastAsia="仿宋_GB2312" w:cs="仿宋_GB2312"/>
                <w:b w:val="0"/>
                <w:bCs w:val="0"/>
                <w:color w:val="auto"/>
                <w:sz w:val="24"/>
                <w:szCs w:val="24"/>
                <w:shd w:val="clear" w:color="auto" w:fill="auto"/>
                <w:vertAlign w:val="baseline"/>
                <w:lang w:val="en-US" w:eastAsia="zh-CN"/>
              </w:rPr>
              <w:t>将公共服务设施配套承载力与片区开发强度进行匹配，对收益率高低不同的项目进行“肥瘦搭配”，反哺片区内安置房、学校、党群中心等公益性项目建设。比</w:t>
            </w:r>
            <w:r>
              <w:rPr>
                <w:rFonts w:hint="eastAsia" w:ascii="仿宋_GB2312" w:hAnsi="仿宋_GB2312" w:eastAsia="仿宋_GB2312" w:cs="仿宋_GB2312"/>
                <w:color w:val="auto"/>
                <w:shd w:val="clear" w:color="auto" w:fill="auto"/>
              </w:rPr>
              <w:t>如</w:t>
            </w:r>
            <w:r>
              <w:rPr>
                <w:rFonts w:hint="eastAsia" w:ascii="仿宋_GB2312" w:hAnsi="仿宋_GB2312" w:eastAsia="仿宋_GB2312" w:cs="仿宋_GB2312"/>
                <w:color w:val="auto"/>
                <w:shd w:val="clear" w:color="auto" w:fill="auto"/>
                <w:lang w:eastAsia="zh-CN"/>
              </w:rPr>
              <w:t>，</w:t>
            </w:r>
            <w:r>
              <w:rPr>
                <w:rFonts w:hint="eastAsia" w:ascii="仿宋_GB2312" w:hAnsi="仿宋_GB2312" w:eastAsia="仿宋_GB2312" w:cs="仿宋_GB2312"/>
                <w:color w:val="auto"/>
                <w:shd w:val="clear" w:color="auto" w:fill="auto"/>
              </w:rPr>
              <w:t>卫岗王卫片区</w:t>
            </w:r>
            <w:r>
              <w:rPr>
                <w:rFonts w:hint="eastAsia" w:ascii="仿宋_GB2312" w:hAnsi="仿宋_GB2312" w:eastAsia="仿宋_GB2312" w:cs="仿宋_GB2312"/>
                <w:color w:val="auto"/>
                <w:shd w:val="clear" w:color="auto" w:fill="auto"/>
                <w:lang w:eastAsia="zh-CN"/>
              </w:rPr>
              <w:t>充分利用市场化运作机制，</w:t>
            </w:r>
            <w:r>
              <w:rPr>
                <w:rFonts w:hint="eastAsia" w:ascii="仿宋_GB2312" w:hAnsi="仿宋_GB2312" w:eastAsia="仿宋_GB2312" w:cs="仿宋_GB2312"/>
                <w:color w:val="auto"/>
                <w:shd w:val="clear" w:color="auto" w:fill="auto"/>
              </w:rPr>
              <w:t>指定区属国有企业为片区土地一级整理单位，将轨道TOD项目、片区安置房、公益性项目建设等作为土地上市条件，支持区属国有企业竞得二级土地开发权</w:t>
            </w:r>
            <w:r>
              <w:rPr>
                <w:rFonts w:hint="eastAsia" w:ascii="仿宋_GB2312" w:hAnsi="仿宋_GB2312" w:eastAsia="仿宋_GB2312" w:cs="仿宋_GB2312"/>
                <w:b w:val="0"/>
                <w:bCs w:val="0"/>
                <w:color w:val="auto"/>
                <w:sz w:val="24"/>
                <w:szCs w:val="24"/>
                <w:shd w:val="clear" w:color="auto" w:fill="auto"/>
                <w:vertAlign w:val="baseline"/>
                <w:lang w:val="en-US" w:eastAsia="zh-CN"/>
              </w:rPr>
              <w:t>，确保片区更新改造后公共服务有提升、公共空间有增加、公共环境有改善</w:t>
            </w:r>
            <w:r>
              <w:rPr>
                <w:rFonts w:hint="eastAsia" w:ascii="仿宋_GB2312" w:hAnsi="仿宋_GB2312" w:eastAsia="仿宋_GB2312" w:cs="仿宋_GB2312"/>
                <w:color w:val="auto"/>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color w:val="auto"/>
                <w:sz w:val="24"/>
                <w:szCs w:val="24"/>
                <w:shd w:val="clear" w:color="auto" w:fill="auto"/>
                <w:vertAlign w:val="baseline"/>
                <w:lang w:val="en-US" w:eastAsia="zh-CN"/>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4"/>
                <w:szCs w:val="24"/>
                <w:shd w:val="clear" w:color="auto" w:fill="auto"/>
                <w:vertAlign w:val="baseline"/>
                <w:lang w:eastAsia="zh-CN"/>
              </w:rPr>
            </w:pPr>
          </w:p>
        </w:tc>
        <w:tc>
          <w:tcPr>
            <w:tcW w:w="1604"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both"/>
              <w:textAlignment w:val="auto"/>
              <w:outlineLvl w:val="9"/>
              <w:rPr>
                <w:rFonts w:hint="eastAsia" w:ascii="楷体_GB2312" w:hAnsi="楷体_GB2312" w:eastAsia="楷体_GB2312" w:cs="楷体_GB2312"/>
                <w:b/>
                <w:bCs/>
                <w:color w:val="auto"/>
                <w:sz w:val="24"/>
                <w:szCs w:val="24"/>
                <w:shd w:val="clear" w:color="auto" w:fill="auto"/>
                <w:vertAlign w:val="baseline"/>
                <w:lang w:val="en-US" w:eastAsia="zh-CN"/>
              </w:rPr>
            </w:pPr>
            <w:r>
              <w:rPr>
                <w:rFonts w:hint="eastAsia" w:ascii="楷体_GB2312" w:hAnsi="楷体_GB2312" w:eastAsia="楷体_GB2312" w:cs="楷体_GB2312"/>
                <w:b/>
                <w:bCs/>
                <w:color w:val="auto"/>
                <w:sz w:val="24"/>
                <w:szCs w:val="24"/>
                <w:shd w:val="clear" w:color="auto" w:fill="auto"/>
                <w:vertAlign w:val="baseline"/>
                <w:lang w:val="en-US" w:eastAsia="zh-CN"/>
              </w:rPr>
              <w:t>（二）通过长效运营收入平衡改造投入</w:t>
            </w:r>
          </w:p>
        </w:tc>
        <w:tc>
          <w:tcPr>
            <w:tcW w:w="10740" w:type="dxa"/>
            <w:noWrap w:val="0"/>
            <w:vAlign w:val="center"/>
          </w:tcPr>
          <w:p>
            <w:pPr>
              <w:pStyle w:val="3"/>
              <w:numPr>
                <w:ilvl w:val="0"/>
                <w:numId w:val="0"/>
              </w:numPr>
              <w:adjustRightInd w:val="0"/>
              <w:snapToGrid w:val="0"/>
              <w:spacing w:afterLines="0" w:line="320" w:lineRule="exact"/>
              <w:outlineLvl w:val="9"/>
              <w:rPr>
                <w:rFonts w:hint="eastAsia" w:ascii="仿宋_GB2312" w:hAnsi="仿宋_GB2312" w:eastAsia="仿宋_GB2312" w:cs="仿宋_GB2312"/>
                <w:b w:val="0"/>
                <w:bCs w:val="0"/>
                <w:color w:val="auto"/>
                <w:shd w:val="clear" w:color="auto" w:fill="auto"/>
              </w:rPr>
            </w:pPr>
            <w:r>
              <w:rPr>
                <w:rFonts w:hint="eastAsia" w:ascii="仿宋_GB2312" w:hAnsi="仿宋_GB2312" w:eastAsia="仿宋_GB2312" w:cs="仿宋_GB2312"/>
                <w:b/>
                <w:bCs/>
                <w:color w:val="auto"/>
                <w:sz w:val="24"/>
                <w:szCs w:val="24"/>
                <w:shd w:val="clear" w:color="auto" w:fill="auto"/>
                <w:vertAlign w:val="baseline"/>
                <w:lang w:val="en-US" w:eastAsia="zh-CN"/>
              </w:rPr>
              <w:t xml:space="preserve">    </w:t>
            </w:r>
            <w:r>
              <w:rPr>
                <w:rFonts w:hint="eastAsia" w:ascii="仿宋_GB2312" w:hAnsi="仿宋_GB2312" w:eastAsia="仿宋_GB2312" w:cs="仿宋_GB2312"/>
                <w:b/>
                <w:bCs/>
                <w:color w:val="auto"/>
                <w:kern w:val="2"/>
                <w:sz w:val="24"/>
                <w:szCs w:val="24"/>
                <w:shd w:val="clear" w:color="auto" w:fill="auto"/>
                <w:lang w:val="en-US" w:eastAsia="zh-CN" w:bidi="ar-SA"/>
              </w:rPr>
              <w:t>1</w:t>
            </w:r>
            <w:r>
              <w:rPr>
                <w:rFonts w:hint="eastAsia" w:ascii="仿宋_GB2312" w:hAnsi="仿宋_GB2312" w:eastAsia="仿宋_GB2312" w:cs="仿宋_GB2312"/>
                <w:b/>
                <w:bCs/>
                <w:color w:val="auto"/>
                <w:sz w:val="24"/>
                <w:szCs w:val="24"/>
                <w:shd w:val="clear" w:color="auto" w:fill="auto"/>
                <w:vertAlign w:val="baseline"/>
                <w:lang w:val="en-US" w:eastAsia="zh-CN"/>
              </w:rPr>
              <w:t>．</w:t>
            </w:r>
            <w:r>
              <w:rPr>
                <w:rFonts w:hint="eastAsia" w:ascii="仿宋_GB2312" w:hAnsi="仿宋_GB2312" w:eastAsia="仿宋_GB2312" w:cs="仿宋_GB2312"/>
                <w:b/>
                <w:bCs/>
                <w:color w:val="auto"/>
                <w:kern w:val="2"/>
                <w:sz w:val="24"/>
                <w:szCs w:val="24"/>
                <w:shd w:val="clear" w:color="auto" w:fill="auto"/>
                <w:lang w:val="en-US" w:eastAsia="zh-CN" w:bidi="ar-SA"/>
              </w:rPr>
              <w:t>四川省成都市探索全过程一体化推进模式。</w:t>
            </w:r>
            <w:r>
              <w:rPr>
                <w:rFonts w:hint="eastAsia" w:ascii="仿宋_GB2312" w:hAnsi="仿宋_GB2312" w:eastAsia="仿宋_GB2312" w:cs="仿宋_GB2312"/>
                <w:b w:val="0"/>
                <w:bCs w:val="0"/>
                <w:color w:val="auto"/>
                <w:kern w:val="2"/>
                <w:sz w:val="24"/>
                <w:szCs w:val="24"/>
                <w:shd w:val="clear" w:color="auto" w:fill="auto"/>
                <w:lang w:val="en-US" w:eastAsia="zh-CN" w:bidi="ar-SA"/>
              </w:rPr>
              <w:t>猛追湾片区</w:t>
            </w:r>
            <w:r>
              <w:rPr>
                <w:rFonts w:hint="eastAsia" w:ascii="仿宋_GB2312" w:hAnsi="仿宋_GB2312" w:eastAsia="仿宋_GB2312" w:cs="仿宋_GB2312"/>
                <w:b w:val="0"/>
                <w:bCs w:val="0"/>
                <w:color w:val="auto"/>
                <w:shd w:val="clear" w:color="auto" w:fill="auto"/>
              </w:rPr>
              <w:t>按照“政府主导、市场主体、商业化逻辑”原则</w:t>
            </w:r>
            <w:r>
              <w:rPr>
                <w:rFonts w:hint="eastAsia" w:ascii="仿宋_GB2312" w:hAnsi="仿宋_GB2312" w:eastAsia="仿宋_GB2312" w:cs="仿宋_GB2312"/>
                <w:b w:val="0"/>
                <w:bCs w:val="0"/>
                <w:color w:val="auto"/>
                <w:kern w:val="2"/>
                <w:sz w:val="24"/>
                <w:szCs w:val="24"/>
                <w:shd w:val="clear" w:color="auto" w:fill="auto"/>
                <w:vertAlign w:val="baseline"/>
                <w:lang w:val="en-US" w:eastAsia="zh-CN" w:bidi="ar-SA"/>
              </w:rPr>
              <w:t>，</w:t>
            </w:r>
            <w:r>
              <w:rPr>
                <w:rFonts w:hint="eastAsia" w:ascii="仿宋_GB2312" w:hAnsi="仿宋_GB2312" w:eastAsia="仿宋_GB2312" w:cs="仿宋_GB2312"/>
                <w:b w:val="0"/>
                <w:bCs w:val="0"/>
                <w:color w:val="auto"/>
                <w:shd w:val="clear" w:color="auto" w:fill="auto"/>
                <w:lang w:eastAsia="zh-CN"/>
              </w:rPr>
              <w:t>由</w:t>
            </w:r>
            <w:r>
              <w:rPr>
                <w:rFonts w:hint="eastAsia" w:ascii="仿宋_GB2312" w:hAnsi="仿宋_GB2312" w:eastAsia="仿宋_GB2312" w:cs="仿宋_GB2312"/>
                <w:b w:val="0"/>
                <w:bCs w:val="0"/>
                <w:color w:val="auto"/>
                <w:shd w:val="clear" w:color="auto" w:fill="auto"/>
              </w:rPr>
              <w:t>政府收储、租赁、利用既有房屋</w:t>
            </w:r>
            <w:r>
              <w:rPr>
                <w:rFonts w:hint="eastAsia" w:ascii="仿宋_GB2312" w:hAnsi="仿宋_GB2312" w:eastAsia="仿宋_GB2312" w:cs="仿宋_GB2312"/>
                <w:b w:val="0"/>
                <w:bCs w:val="0"/>
                <w:color w:val="auto"/>
                <w:kern w:val="2"/>
                <w:sz w:val="24"/>
                <w:szCs w:val="24"/>
                <w:shd w:val="clear" w:color="auto" w:fill="auto"/>
                <w:vertAlign w:val="baseline"/>
                <w:lang w:val="en-US" w:eastAsia="zh-CN" w:bidi="ar-SA"/>
              </w:rPr>
              <w:t>，</w:t>
            </w:r>
            <w:r>
              <w:rPr>
                <w:rFonts w:hint="eastAsia" w:ascii="仿宋_GB2312" w:hAnsi="仿宋_GB2312" w:eastAsia="仿宋_GB2312" w:cs="仿宋_GB2312"/>
                <w:b w:val="0"/>
                <w:bCs w:val="0"/>
                <w:color w:val="auto"/>
                <w:shd w:val="clear" w:color="auto" w:fill="auto"/>
              </w:rPr>
              <w:t>引入实力强、资源广、经验丰富的社会力量作为运营商,探索项目策划、规划、设计、建设、运营一体化的投资运营模式,对项目实施整体规划、分步实施、商业运作</w:t>
            </w:r>
            <w:r>
              <w:rPr>
                <w:rFonts w:hint="eastAsia" w:ascii="仿宋_GB2312" w:hAnsi="仿宋_GB2312" w:eastAsia="仿宋_GB2312" w:cs="仿宋_GB2312"/>
                <w:b w:val="0"/>
                <w:bCs w:val="0"/>
                <w:color w:val="auto"/>
                <w:kern w:val="2"/>
                <w:sz w:val="24"/>
                <w:szCs w:val="24"/>
                <w:shd w:val="clear" w:color="auto" w:fill="auto"/>
                <w:vertAlign w:val="baseline"/>
                <w:lang w:val="en-US" w:eastAsia="zh-CN" w:bidi="ar-SA"/>
              </w:rPr>
              <w:t>，</w:t>
            </w:r>
            <w:r>
              <w:rPr>
                <w:rFonts w:hint="eastAsia" w:ascii="仿宋_GB2312" w:hAnsi="仿宋_GB2312" w:eastAsia="仿宋_GB2312" w:cs="仿宋_GB2312"/>
                <w:b w:val="0"/>
                <w:bCs w:val="0"/>
                <w:color w:val="auto"/>
                <w:shd w:val="clear" w:color="auto" w:fill="auto"/>
              </w:rPr>
              <w:t>并大力实施优质资源“收、租、引”</w:t>
            </w:r>
            <w:r>
              <w:rPr>
                <w:rFonts w:hint="eastAsia" w:ascii="仿宋_GB2312" w:hAnsi="仿宋_GB2312" w:eastAsia="仿宋_GB2312" w:cs="仿宋_GB2312"/>
                <w:b w:val="0"/>
                <w:bCs w:val="0"/>
                <w:color w:val="auto"/>
                <w:kern w:val="2"/>
                <w:sz w:val="24"/>
                <w:szCs w:val="24"/>
                <w:shd w:val="clear" w:color="auto" w:fill="auto"/>
                <w:vertAlign w:val="baseline"/>
                <w:lang w:val="en-US" w:eastAsia="zh-CN" w:bidi="ar-SA"/>
              </w:rPr>
              <w:t>，</w:t>
            </w:r>
            <w:r>
              <w:rPr>
                <w:rFonts w:hint="eastAsia" w:ascii="仿宋_GB2312" w:hAnsi="仿宋_GB2312" w:eastAsia="仿宋_GB2312" w:cs="仿宋_GB2312"/>
                <w:b w:val="0"/>
                <w:bCs w:val="0"/>
                <w:color w:val="auto"/>
                <w:shd w:val="clear" w:color="auto" w:fill="auto"/>
              </w:rPr>
              <w:t>对收储资产实施资产管理、运营管理、项目招引、业态管控</w:t>
            </w:r>
            <w:r>
              <w:rPr>
                <w:rFonts w:hint="eastAsia" w:ascii="仿宋_GB2312" w:hAnsi="仿宋_GB2312" w:eastAsia="仿宋_GB2312" w:cs="仿宋_GB2312"/>
                <w:b w:val="0"/>
                <w:bCs w:val="0"/>
                <w:color w:val="auto"/>
                <w:shd w:val="clear" w:color="auto" w:fill="auto"/>
                <w:lang w:eastAsia="zh-CN"/>
              </w:rPr>
              <w:t>，</w:t>
            </w:r>
            <w:r>
              <w:rPr>
                <w:rFonts w:hint="eastAsia" w:ascii="仿宋_GB2312" w:hAnsi="仿宋_GB2312" w:eastAsia="仿宋_GB2312" w:cs="仿宋_GB2312"/>
                <w:b w:val="0"/>
                <w:bCs w:val="0"/>
                <w:color w:val="auto"/>
                <w:kern w:val="2"/>
                <w:sz w:val="24"/>
                <w:szCs w:val="24"/>
                <w:shd w:val="clear" w:color="auto" w:fill="auto"/>
                <w:lang w:val="en-US" w:eastAsia="zh-CN" w:bidi="ar-SA"/>
              </w:rPr>
              <w:t>通过经营性收益</w:t>
            </w:r>
            <w:r>
              <w:rPr>
                <w:rFonts w:hint="eastAsia" w:ascii="仿宋_GB2312" w:hAnsi="仿宋_GB2312" w:eastAsia="仿宋_GB2312" w:cs="仿宋_GB2312"/>
                <w:b w:val="0"/>
                <w:bCs w:val="0"/>
                <w:color w:val="auto"/>
                <w:shd w:val="clear" w:color="auto" w:fill="auto"/>
              </w:rPr>
              <w:t>平衡改造投入。</w:t>
            </w:r>
          </w:p>
          <w:p>
            <w:pPr>
              <w:pStyle w:val="3"/>
              <w:numPr>
                <w:ilvl w:val="0"/>
                <w:numId w:val="0"/>
              </w:numPr>
              <w:adjustRightInd w:val="0"/>
              <w:snapToGrid w:val="0"/>
              <w:spacing w:afterLines="0" w:line="320" w:lineRule="exact"/>
              <w:outlineLvl w:val="9"/>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b/>
                <w:bCs/>
                <w:color w:val="auto"/>
                <w:sz w:val="24"/>
                <w:szCs w:val="24"/>
                <w:shd w:val="clear" w:color="auto" w:fill="auto"/>
                <w:vertAlign w:val="baseline"/>
                <w:lang w:val="en-US" w:eastAsia="zh-CN"/>
              </w:rPr>
              <w:t xml:space="preserve">    2．</w:t>
            </w:r>
            <w:r>
              <w:rPr>
                <w:rFonts w:hint="eastAsia" w:ascii="仿宋_GB2312" w:hAnsi="仿宋_GB2312" w:eastAsia="仿宋_GB2312" w:cs="仿宋_GB2312"/>
                <w:b/>
                <w:bCs/>
                <w:color w:val="auto"/>
                <w:kern w:val="2"/>
                <w:sz w:val="24"/>
                <w:szCs w:val="24"/>
                <w:shd w:val="clear" w:color="auto" w:fill="auto"/>
                <w:lang w:val="en-US" w:eastAsia="zh-CN" w:bidi="ar-SA"/>
              </w:rPr>
              <w:t>重庆市探索“政府+企业+居民”共同实施模式。</w:t>
            </w:r>
            <w:r>
              <w:rPr>
                <w:rFonts w:hint="eastAsia" w:ascii="仿宋_GB2312" w:hAnsi="仿宋_GB2312" w:eastAsia="仿宋_GB2312" w:cs="仿宋_GB2312"/>
                <w:color w:val="auto"/>
                <w:kern w:val="2"/>
                <w:sz w:val="24"/>
                <w:szCs w:val="24"/>
                <w:shd w:val="clear" w:color="auto" w:fill="auto"/>
                <w:lang w:bidi="ar-SA"/>
              </w:rPr>
              <w:t>戴家巷老街区更新由政府</w:t>
            </w:r>
            <w:r>
              <w:rPr>
                <w:rFonts w:hint="eastAsia" w:ascii="仿宋_GB2312" w:hAnsi="仿宋_GB2312" w:eastAsia="仿宋_GB2312" w:cs="仿宋_GB2312"/>
                <w:color w:val="auto"/>
                <w:kern w:val="2"/>
                <w:sz w:val="24"/>
                <w:szCs w:val="24"/>
                <w:shd w:val="clear" w:color="auto" w:fill="auto"/>
                <w:lang w:eastAsia="zh-CN" w:bidi="ar-SA"/>
              </w:rPr>
              <w:t>出资通过“微改造”方式开展区域环境提升，建设崖壁步道</w:t>
            </w:r>
            <w:r>
              <w:rPr>
                <w:rFonts w:hint="eastAsia" w:ascii="仿宋_GB2312" w:hAnsi="仿宋_GB2312" w:eastAsia="仿宋_GB2312" w:cs="仿宋_GB2312"/>
                <w:color w:val="auto"/>
                <w:kern w:val="2"/>
                <w:sz w:val="24"/>
                <w:szCs w:val="24"/>
                <w:shd w:val="clear" w:color="auto" w:fill="auto"/>
                <w:lang w:bidi="ar-SA"/>
              </w:rPr>
              <w:t>，国企平台公司征收部分</w:t>
            </w:r>
            <w:r>
              <w:rPr>
                <w:rFonts w:hint="eastAsia" w:ascii="仿宋_GB2312" w:hAnsi="仿宋_GB2312" w:eastAsia="仿宋_GB2312" w:cs="仿宋_GB2312"/>
                <w:color w:val="auto"/>
                <w:kern w:val="2"/>
                <w:sz w:val="24"/>
                <w:szCs w:val="24"/>
                <w:shd w:val="clear" w:color="auto" w:fill="auto"/>
                <w:lang w:eastAsia="zh-CN" w:bidi="ar-SA"/>
              </w:rPr>
              <w:t>房屋进行改造，引入文化创意、餐饮酒店等业态，使周边物业价值大幅提升，带动</w:t>
            </w:r>
            <w:r>
              <w:rPr>
                <w:rFonts w:hint="eastAsia" w:ascii="仿宋_GB2312" w:hAnsi="仿宋_GB2312" w:eastAsia="仿宋_GB2312" w:cs="仿宋_GB2312"/>
                <w:color w:val="auto"/>
                <w:kern w:val="2"/>
                <w:sz w:val="24"/>
                <w:szCs w:val="24"/>
                <w:shd w:val="clear" w:color="auto" w:fill="auto"/>
                <w:lang w:bidi="ar-SA"/>
              </w:rPr>
              <w:t>居民自发</w:t>
            </w:r>
            <w:r>
              <w:rPr>
                <w:rFonts w:hint="eastAsia" w:ascii="仿宋_GB2312" w:hAnsi="仿宋_GB2312" w:eastAsia="仿宋_GB2312" w:cs="仿宋_GB2312"/>
                <w:color w:val="auto"/>
                <w:kern w:val="2"/>
                <w:sz w:val="24"/>
                <w:szCs w:val="24"/>
                <w:shd w:val="clear" w:color="auto" w:fill="auto"/>
                <w:lang w:eastAsia="zh-CN" w:bidi="ar-SA"/>
              </w:rPr>
              <w:t>开展临街房屋装修，</w:t>
            </w:r>
            <w:r>
              <w:rPr>
                <w:rFonts w:hint="eastAsia" w:ascii="仿宋_GB2312" w:hAnsi="仿宋_GB2312" w:eastAsia="仿宋_GB2312" w:cs="仿宋_GB2312"/>
                <w:b w:val="0"/>
                <w:bCs w:val="0"/>
                <w:color w:val="auto"/>
                <w:kern w:val="2"/>
                <w:sz w:val="24"/>
                <w:szCs w:val="24"/>
                <w:shd w:val="clear" w:color="auto" w:fill="auto"/>
                <w:lang w:val="en-US" w:eastAsia="zh-CN" w:bidi="ar-SA"/>
              </w:rPr>
              <w:t>形成各具特色的小店。在改造中完整保留戴家巷外立面风貌，拆除建筑规模仅占5.6%，容积率由2.94降为2.82，区域运营收入约6—7年可收回房屋改造成本。</w:t>
            </w:r>
          </w:p>
          <w:p>
            <w:pPr>
              <w:pStyle w:val="3"/>
              <w:keepNext w:val="0"/>
              <w:keepLines w:val="0"/>
              <w:pageBreakBefore w:val="0"/>
              <w:widowControl w:val="0"/>
              <w:kinsoku/>
              <w:wordWrap/>
              <w:overflowPunct/>
              <w:topLinePunct w:val="0"/>
              <w:autoSpaceDE/>
              <w:autoSpaceDN/>
              <w:bidi w:val="0"/>
              <w:adjustRightInd/>
              <w:snapToGrid/>
              <w:spacing w:afterLines="0" w:line="320" w:lineRule="exact"/>
              <w:ind w:left="0" w:leftChars="0" w:firstLine="482" w:firstLineChars="200"/>
              <w:textAlignment w:val="auto"/>
              <w:outlineLvl w:val="9"/>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3．江苏省苏州市探索老菜场更新的“市集模式”。</w:t>
            </w:r>
            <w:r>
              <w:rPr>
                <w:rFonts w:hint="eastAsia" w:ascii="仿宋_GB2312" w:hAnsi="仿宋_GB2312" w:eastAsia="仿宋_GB2312" w:cs="仿宋_GB2312"/>
                <w:b w:val="0"/>
                <w:bCs w:val="0"/>
                <w:color w:val="auto"/>
                <w:shd w:val="clear" w:color="auto" w:fill="auto"/>
                <w:lang w:eastAsia="zh-CN"/>
              </w:rPr>
              <w:t>自</w:t>
            </w:r>
            <w:r>
              <w:rPr>
                <w:rFonts w:hint="eastAsia" w:ascii="仿宋_GB2312" w:hAnsi="仿宋_GB2312" w:eastAsia="仿宋_GB2312" w:cs="仿宋_GB2312"/>
                <w:b w:val="0"/>
                <w:bCs w:val="0"/>
                <w:color w:val="auto"/>
                <w:sz w:val="24"/>
                <w:szCs w:val="24"/>
                <w:shd w:val="clear" w:color="auto" w:fill="auto"/>
                <w:vertAlign w:val="baseline"/>
                <w:lang w:val="en-US" w:eastAsia="zh-CN"/>
              </w:rPr>
              <w:t>2019年起，对38个城市老菜场进行改造，通过引入商业管理公司向产权人承租后，统一负责市集内部装修、设施设备维护、消防改造、软装设计、智慧系统和后期运营等工作，再以房屋租赁形式出租给经营户，通过业态提升收取租金及物业管理费保持收支平衡</w:t>
            </w:r>
            <w:r>
              <w:rPr>
                <w:rFonts w:hint="eastAsia" w:ascii="仿宋_GB2312" w:hAnsi="仿宋_GB2312" w:eastAsia="仿宋_GB2312" w:cs="仿宋_GB2312"/>
                <w:b w:val="0"/>
                <w:bCs w:val="0"/>
                <w:color w:val="auto"/>
                <w:shd w:val="clear" w:color="auto" w:fill="auto"/>
              </w:rPr>
              <w:t>。</w:t>
            </w:r>
            <w:r>
              <w:rPr>
                <w:rFonts w:hint="eastAsia" w:ascii="仿宋_GB2312" w:hAnsi="仿宋_GB2312" w:eastAsia="仿宋_GB2312" w:cs="仿宋_GB2312"/>
                <w:b w:val="0"/>
                <w:bCs w:val="0"/>
                <w:color w:val="auto"/>
                <w:shd w:val="clear" w:color="auto" w:fill="auto"/>
                <w:lang w:eastAsia="zh-CN"/>
              </w:rPr>
              <w:t>改造后，老菜场成为环境优美的文创特色市集，增加书店、舞台、展览区、公共空间等设施，从以前的脏、乱、差华丽转身为具有烟火气的城市会客厅，成功探索老菜场文创化、生态化、网红化、智慧化发展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4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color w:val="auto"/>
                <w:sz w:val="24"/>
                <w:szCs w:val="24"/>
                <w:shd w:val="clear" w:color="auto" w:fill="auto"/>
                <w:vertAlign w:val="baseline"/>
                <w:lang w:val="en-US" w:eastAsia="zh-CN"/>
              </w:rPr>
            </w:pPr>
            <w:r>
              <w:rPr>
                <w:rFonts w:hint="eastAsia" w:ascii="黑体" w:hAnsi="黑体" w:eastAsia="黑体" w:cs="黑体"/>
                <w:color w:val="auto"/>
                <w:sz w:val="24"/>
                <w:szCs w:val="24"/>
                <w:shd w:val="clear" w:color="auto" w:fill="auto"/>
                <w:vertAlign w:val="baseline"/>
                <w:lang w:val="en-US" w:eastAsia="zh-CN"/>
              </w:rPr>
              <w:t>二</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4"/>
                <w:szCs w:val="24"/>
                <w:shd w:val="clear" w:color="auto" w:fill="auto"/>
                <w:vertAlign w:val="baseline"/>
                <w:lang w:eastAsia="zh-CN"/>
              </w:rPr>
            </w:pPr>
            <w:r>
              <w:rPr>
                <w:rFonts w:hint="eastAsia" w:ascii="黑体" w:hAnsi="黑体" w:eastAsia="黑体" w:cs="黑体"/>
                <w:b w:val="0"/>
                <w:bCs w:val="0"/>
                <w:color w:val="auto"/>
                <w:sz w:val="24"/>
                <w:szCs w:val="24"/>
                <w:shd w:val="clear" w:color="auto" w:fill="auto"/>
                <w:vertAlign w:val="baseline"/>
                <w:lang w:eastAsia="zh-CN"/>
              </w:rPr>
              <w:t>建立政府引导、市场运作、公众参与的可持续实施模式</w:t>
            </w:r>
          </w:p>
        </w:tc>
        <w:tc>
          <w:tcPr>
            <w:tcW w:w="1604"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both"/>
              <w:textAlignment w:val="auto"/>
              <w:outlineLvl w:val="9"/>
              <w:rPr>
                <w:rFonts w:hint="eastAsia" w:ascii="楷体_GB2312" w:hAnsi="楷体_GB2312" w:eastAsia="楷体_GB2312" w:cs="楷体_GB2312"/>
                <w:b/>
                <w:bCs/>
                <w:color w:val="auto"/>
                <w:sz w:val="24"/>
                <w:szCs w:val="24"/>
                <w:shd w:val="clear" w:color="auto" w:fil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Lines="0" w:line="320" w:lineRule="exact"/>
              <w:jc w:val="both"/>
              <w:textAlignment w:val="auto"/>
              <w:outlineLvl w:val="9"/>
              <w:rPr>
                <w:rFonts w:hint="eastAsia" w:ascii="楷体_GB2312" w:hAnsi="楷体_GB2312" w:eastAsia="楷体_GB2312" w:cs="楷体_GB2312"/>
                <w:b/>
                <w:bCs/>
                <w:color w:val="auto"/>
                <w:sz w:val="24"/>
                <w:szCs w:val="24"/>
                <w:shd w:val="clear" w:color="auto" w:fill="auto"/>
                <w:vertAlign w:val="baseline"/>
                <w:lang w:val="en-US" w:eastAsia="zh-CN"/>
              </w:rPr>
            </w:pPr>
            <w:r>
              <w:rPr>
                <w:rFonts w:hint="eastAsia" w:ascii="楷体_GB2312" w:hAnsi="楷体_GB2312" w:eastAsia="楷体_GB2312" w:cs="楷体_GB2312"/>
                <w:b/>
                <w:bCs/>
                <w:color w:val="auto"/>
                <w:sz w:val="24"/>
                <w:szCs w:val="24"/>
                <w:shd w:val="clear" w:color="auto" w:fill="auto"/>
                <w:vertAlign w:val="baseline"/>
                <w:lang w:val="en-US" w:eastAsia="zh-CN"/>
              </w:rPr>
              <w:t>（三）构建多元化资金保障机制</w:t>
            </w:r>
          </w:p>
          <w:p>
            <w:pPr>
              <w:keepNext w:val="0"/>
              <w:keepLines w:val="0"/>
              <w:pageBreakBefore w:val="0"/>
              <w:widowControl w:val="0"/>
              <w:numPr>
                <w:ilvl w:val="0"/>
                <w:numId w:val="0"/>
              </w:numPr>
              <w:kinsoku/>
              <w:wordWrap/>
              <w:overflowPunct/>
              <w:topLinePunct w:val="0"/>
              <w:autoSpaceDE/>
              <w:autoSpaceDN/>
              <w:bidi w:val="0"/>
              <w:adjustRightInd/>
              <w:snapToGrid/>
              <w:spacing w:afterLines="0" w:line="320" w:lineRule="exact"/>
              <w:jc w:val="both"/>
              <w:textAlignment w:val="auto"/>
              <w:outlineLvl w:val="9"/>
              <w:rPr>
                <w:rFonts w:hint="default" w:ascii="楷体_GB2312" w:hAnsi="楷体_GB2312" w:eastAsia="楷体_GB2312" w:cs="楷体_GB2312"/>
                <w:b/>
                <w:bCs/>
                <w:color w:val="auto"/>
                <w:sz w:val="24"/>
                <w:szCs w:val="24"/>
                <w:shd w:val="clear" w:color="auto" w:fill="auto"/>
                <w:vertAlign w:val="baseline"/>
                <w:lang w:val="en" w:eastAsia="zh-CN"/>
              </w:rPr>
            </w:pPr>
          </w:p>
        </w:tc>
        <w:tc>
          <w:tcPr>
            <w:tcW w:w="10740"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Lines="0" w:line="320" w:lineRule="exact"/>
              <w:ind w:left="0" w:leftChars="0" w:firstLine="482" w:firstLineChars="200"/>
              <w:textAlignment w:val="auto"/>
              <w:outlineLvl w:val="9"/>
              <w:rPr>
                <w:rFonts w:hint="eastAsia" w:ascii="仿宋_GB2312" w:hAnsi="仿宋_GB2312" w:eastAsia="仿宋_GB2312" w:cs="仿宋_GB2312"/>
                <w:b/>
                <w:bCs/>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highlight w:val="none"/>
                <w:shd w:val="clear" w:color="auto" w:fill="auto"/>
                <w:vertAlign w:val="baseline"/>
                <w:lang w:val="en-US" w:eastAsia="zh-CN"/>
              </w:rPr>
              <w:t>1.</w:t>
            </w:r>
            <w:r>
              <w:rPr>
                <w:rFonts w:hint="eastAsia" w:ascii="仿宋_GB2312" w:hAnsi="仿宋_GB2312" w:eastAsia="仿宋_GB2312" w:cs="仿宋_GB2312"/>
                <w:b/>
                <w:bCs/>
                <w:color w:val="auto"/>
                <w:sz w:val="24"/>
                <w:szCs w:val="24"/>
                <w:shd w:val="clear" w:color="auto" w:fill="auto"/>
                <w:vertAlign w:val="baseline"/>
                <w:lang w:val="en-US" w:eastAsia="zh-CN"/>
              </w:rPr>
              <w:t>四川省</w:t>
            </w:r>
            <w:r>
              <w:rPr>
                <w:rFonts w:hint="eastAsia" w:ascii="仿宋_GB2312" w:hAnsi="仿宋_GB2312" w:eastAsia="仿宋_GB2312" w:cs="仿宋_GB2312"/>
                <w:b/>
                <w:bCs/>
                <w:color w:val="auto"/>
                <w:sz w:val="24"/>
                <w:szCs w:val="24"/>
                <w:highlight w:val="none"/>
                <w:shd w:val="clear" w:color="auto" w:fill="auto"/>
                <w:vertAlign w:val="baseline"/>
                <w:lang w:val="en-US" w:eastAsia="zh-CN"/>
              </w:rPr>
              <w:t>成都市</w:t>
            </w:r>
            <w:r>
              <w:rPr>
                <w:rFonts w:hint="eastAsia" w:ascii="仿宋_GB2312" w:hAnsi="仿宋_GB2312" w:eastAsia="仿宋_GB2312" w:cs="仿宋_GB2312"/>
                <w:b/>
                <w:bCs/>
                <w:color w:val="auto"/>
                <w:sz w:val="24"/>
                <w:szCs w:val="24"/>
                <w:shd w:val="clear" w:color="auto" w:fill="auto"/>
                <w:vertAlign w:val="baseline"/>
                <w:lang w:val="en-US" w:eastAsia="zh-CN"/>
              </w:rPr>
              <w:t>设立城市更新专项资金。</w:t>
            </w:r>
            <w:r>
              <w:rPr>
                <w:rFonts w:hint="eastAsia" w:ascii="仿宋_GB2312" w:hAnsi="仿宋_GB2312" w:eastAsia="仿宋_GB2312" w:cs="仿宋_GB2312"/>
                <w:b w:val="0"/>
                <w:bCs w:val="0"/>
                <w:color w:val="auto"/>
                <w:sz w:val="24"/>
                <w:szCs w:val="24"/>
                <w:shd w:val="clear" w:color="auto" w:fill="auto"/>
                <w:vertAlign w:val="baseline"/>
                <w:lang w:val="en-US" w:eastAsia="zh-CN"/>
              </w:rPr>
              <w:t>对政府投资的城市更新项目，以直接投资方式予以支持，对城市发展需要且难以实现平衡的项目，经政府认定后采取资本金注入、投资补助、贷款贴息等方式给予支持。如，在天府文化公园等城市重大功能性片区更新中，由市级财政向市属国有企业注资作为资本金；在历史建筑保护修缮中，市、区（县）两级财政按照7:3的比例给予70%—80%的投资补助；在老旧小区改造中，对已投放政策性开发性金融贷款且开工建设的部分项目，分类别、分标准给予贷款贴息。</w:t>
            </w:r>
          </w:p>
          <w:p>
            <w:pPr>
              <w:pStyle w:val="3"/>
              <w:spacing w:afterLines="0" w:line="320" w:lineRule="exact"/>
              <w:ind w:firstLine="482" w:firstLineChars="200"/>
              <w:rPr>
                <w:rFonts w:hint="eastAsia" w:ascii="仿宋_GB2312" w:hAnsi="仿宋_GB2312" w:eastAsia="仿宋_GB2312" w:cs="仿宋_GB2312"/>
                <w:color w:val="auto"/>
                <w:kern w:val="2"/>
                <w:sz w:val="24"/>
                <w:szCs w:val="24"/>
                <w:shd w:val="clear" w:color="auto" w:fill="auto"/>
                <w:lang w:val="en-US" w:eastAsia="zh-CN" w:bidi="ar-SA"/>
              </w:rPr>
            </w:pPr>
            <w:r>
              <w:rPr>
                <w:rFonts w:hint="eastAsia" w:ascii="仿宋_GB2312" w:hAnsi="仿宋_GB2312" w:eastAsia="仿宋_GB2312" w:cs="仿宋_GB2312"/>
                <w:b/>
                <w:bCs/>
                <w:color w:val="auto"/>
                <w:sz w:val="24"/>
                <w:szCs w:val="24"/>
                <w:shd w:val="clear" w:color="auto" w:fill="auto"/>
                <w:vertAlign w:val="baseline"/>
                <w:lang w:val="en-US" w:eastAsia="zh-CN"/>
              </w:rPr>
              <w:t>2．安徽省</w:t>
            </w:r>
            <w:r>
              <w:rPr>
                <w:rFonts w:hint="eastAsia" w:ascii="仿宋_GB2312" w:hAnsi="仿宋_GB2312" w:eastAsia="仿宋_GB2312" w:cs="仿宋_GB2312"/>
                <w:b/>
                <w:bCs/>
                <w:color w:val="auto"/>
                <w:kern w:val="2"/>
                <w:sz w:val="24"/>
                <w:szCs w:val="24"/>
                <w:shd w:val="clear" w:color="auto" w:fill="auto"/>
                <w:lang w:val="en-US" w:eastAsia="zh-CN" w:bidi="ar-SA"/>
              </w:rPr>
              <w:t>铜陵市积极争取开发性金融机构支持。</w:t>
            </w:r>
            <w:r>
              <w:rPr>
                <w:rFonts w:hint="eastAsia" w:ascii="仿宋_GB2312" w:hAnsi="仿宋_GB2312" w:eastAsia="仿宋_GB2312" w:cs="仿宋_GB2312"/>
                <w:b w:val="0"/>
                <w:bCs w:val="0"/>
                <w:color w:val="auto"/>
                <w:kern w:val="2"/>
                <w:sz w:val="24"/>
                <w:szCs w:val="24"/>
                <w:shd w:val="clear" w:color="auto" w:fill="auto"/>
                <w:lang w:val="en-US" w:eastAsia="zh-CN" w:bidi="ar-SA"/>
              </w:rPr>
              <w:t>铜陵市政府与国家开发银行安徽省分行签订战略合作协议，</w:t>
            </w:r>
            <w:r>
              <w:rPr>
                <w:rFonts w:hint="eastAsia" w:ascii="仿宋_GB2312" w:hAnsi="仿宋_GB2312" w:eastAsia="仿宋_GB2312" w:cs="仿宋_GB2312"/>
                <w:color w:val="auto"/>
                <w:kern w:val="2"/>
                <w:sz w:val="24"/>
                <w:szCs w:val="24"/>
                <w:shd w:val="clear" w:color="auto" w:fill="auto"/>
                <w:lang w:val="en-US" w:eastAsia="zh-CN" w:bidi="ar-SA"/>
              </w:rPr>
              <w:t>获得对6个城市更新片区项目的一次性授信46.18亿元基准利率下浮贷款，贷款资金已到位13.3亿元，用于支持老旧城区改造提升、市政基础设施建设、生态环境治理、公共服务设施配套完善、历史风貌保护和文化传承等多个重点领域。</w:t>
            </w:r>
          </w:p>
          <w:p>
            <w:pPr>
              <w:pStyle w:val="3"/>
              <w:keepNext w:val="0"/>
              <w:keepLines w:val="0"/>
              <w:pageBreakBefore w:val="0"/>
              <w:widowControl w:val="0"/>
              <w:kinsoku/>
              <w:wordWrap/>
              <w:overflowPunct/>
              <w:topLinePunct w:val="0"/>
              <w:autoSpaceDE/>
              <w:autoSpaceDN/>
              <w:bidi w:val="0"/>
              <w:adjustRightInd/>
              <w:snapToGrid/>
              <w:spacing w:afterLines="0" w:line="320" w:lineRule="exact"/>
              <w:ind w:left="0" w:leftChars="0" w:firstLine="482" w:firstLineChars="200"/>
              <w:textAlignment w:val="auto"/>
              <w:outlineLvl w:val="9"/>
              <w:rPr>
                <w:rFonts w:hint="eastAsia" w:ascii="仿宋_GB2312" w:hAnsi="仿宋_GB2312" w:eastAsia="仿宋_GB2312" w:cs="仿宋_GB2312"/>
                <w:b/>
                <w:bCs/>
                <w:color w:val="auto"/>
                <w:sz w:val="24"/>
                <w:szCs w:val="24"/>
                <w:highlight w:val="none"/>
                <w:shd w:val="clear" w:color="auto" w:fill="auto"/>
                <w:vertAlign w:val="baseline"/>
                <w:lang w:val="en-US" w:eastAsia="zh-CN"/>
              </w:rPr>
            </w:pPr>
            <w:r>
              <w:rPr>
                <w:rFonts w:hint="eastAsia" w:ascii="仿宋_GB2312" w:hAnsi="仿宋_GB2312" w:eastAsia="仿宋_GB2312" w:cs="仿宋_GB2312"/>
                <w:b/>
                <w:bCs/>
                <w:color w:val="auto"/>
                <w:sz w:val="24"/>
                <w:szCs w:val="24"/>
                <w:highlight w:val="none"/>
                <w:shd w:val="clear" w:color="auto" w:fill="auto"/>
                <w:vertAlign w:val="baseline"/>
                <w:lang w:val="en-US" w:eastAsia="zh-CN"/>
              </w:rPr>
              <w:t>3</w:t>
            </w:r>
            <w:r>
              <w:rPr>
                <w:rFonts w:hint="eastAsia" w:ascii="仿宋_GB2312" w:hAnsi="仿宋_GB2312" w:eastAsia="仿宋_GB2312" w:cs="仿宋_GB2312"/>
                <w:b/>
                <w:bCs/>
                <w:color w:val="auto"/>
                <w:sz w:val="24"/>
                <w:szCs w:val="24"/>
                <w:shd w:val="clear" w:color="auto" w:fill="auto"/>
                <w:vertAlign w:val="baseline"/>
                <w:lang w:val="en-US" w:eastAsia="zh-CN"/>
              </w:rPr>
              <w:t>．</w:t>
            </w:r>
            <w:r>
              <w:rPr>
                <w:rFonts w:hint="eastAsia" w:ascii="仿宋_GB2312" w:hAnsi="仿宋_GB2312" w:eastAsia="仿宋_GB2312" w:cs="仿宋_GB2312"/>
                <w:b/>
                <w:bCs/>
                <w:color w:val="auto"/>
                <w:sz w:val="24"/>
                <w:szCs w:val="24"/>
                <w:highlight w:val="none"/>
                <w:shd w:val="clear" w:color="auto" w:fill="auto"/>
                <w:vertAlign w:val="baseline"/>
                <w:lang w:val="en-US" w:eastAsia="zh-CN"/>
              </w:rPr>
              <w:t>上海市设立城市更新基金。</w:t>
            </w: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为广泛吸引社会力量参与城市更新，上海地产集团联合招商蛇口、中交集团、万科集团、国寿投资、保利发展、中国太保、中保投资等多家房企和保险资金成立800亿元基金，定向投资城市更新项目，促进城市功能优化、民生保障、品质提升和风貌保护。</w:t>
            </w:r>
          </w:p>
          <w:p>
            <w:pPr>
              <w:pStyle w:val="3"/>
              <w:keepNext w:val="0"/>
              <w:keepLines w:val="0"/>
              <w:pageBreakBefore w:val="0"/>
              <w:widowControl w:val="0"/>
              <w:kinsoku/>
              <w:wordWrap/>
              <w:overflowPunct/>
              <w:topLinePunct w:val="0"/>
              <w:autoSpaceDE/>
              <w:autoSpaceDN/>
              <w:bidi w:val="0"/>
              <w:adjustRightInd/>
              <w:snapToGrid/>
              <w:spacing w:afterLines="0" w:line="320" w:lineRule="exact"/>
              <w:ind w:left="0" w:leftChars="0" w:firstLine="482" w:firstLineChars="200"/>
              <w:textAlignment w:val="auto"/>
              <w:outlineLvl w:val="9"/>
              <w:rPr>
                <w:rFonts w:hint="default"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4．山东省潍坊市减免城市更新项目行政事业收费。</w:t>
            </w:r>
            <w:r>
              <w:rPr>
                <w:rFonts w:hint="eastAsia" w:ascii="仿宋_GB2312" w:hAnsi="仿宋_GB2312" w:eastAsia="仿宋_GB2312" w:cs="仿宋_GB2312"/>
                <w:b w:val="0"/>
                <w:bCs w:val="0"/>
                <w:color w:val="auto"/>
                <w:sz w:val="24"/>
                <w:szCs w:val="24"/>
                <w:shd w:val="clear" w:color="auto" w:fill="auto"/>
                <w:vertAlign w:val="baseline"/>
                <w:lang w:val="en-US" w:eastAsia="zh-CN"/>
              </w:rPr>
              <w:t>对纳入城市更新重点项目库的项目，免征城市基础设施配套费等各类行政事业收费，对电力、通信、市政公用事业等企业适当降低经营性收费。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color w:val="auto"/>
                <w:sz w:val="24"/>
                <w:szCs w:val="24"/>
                <w:shd w:val="clear" w:color="auto" w:fill="auto"/>
                <w:vertAlign w:val="baseline"/>
                <w:lang w:val="en-US" w:eastAsia="zh-CN"/>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4"/>
                <w:szCs w:val="24"/>
                <w:shd w:val="clear" w:color="auto" w:fill="auto"/>
                <w:vertAlign w:val="baseline"/>
                <w:lang w:eastAsia="zh-CN"/>
              </w:rPr>
            </w:pPr>
          </w:p>
        </w:tc>
        <w:tc>
          <w:tcPr>
            <w:tcW w:w="1604"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both"/>
              <w:textAlignment w:val="auto"/>
              <w:outlineLvl w:val="9"/>
              <w:rPr>
                <w:rFonts w:hint="eastAsia" w:ascii="楷体_GB2312" w:hAnsi="楷体_GB2312" w:eastAsia="楷体_GB2312" w:cs="楷体_GB2312"/>
                <w:b/>
                <w:bCs/>
                <w:color w:val="auto"/>
                <w:sz w:val="24"/>
                <w:szCs w:val="24"/>
                <w:shd w:val="clear" w:color="auto" w:fill="auto"/>
                <w:vertAlign w:val="baseline"/>
                <w:lang w:val="en-US" w:eastAsia="zh-CN"/>
              </w:rPr>
            </w:pPr>
            <w:r>
              <w:rPr>
                <w:rFonts w:hint="eastAsia" w:ascii="楷体_GB2312" w:hAnsi="楷体_GB2312" w:eastAsia="楷体_GB2312" w:cs="楷体_GB2312"/>
                <w:b/>
                <w:bCs/>
                <w:color w:val="auto"/>
                <w:sz w:val="24"/>
                <w:szCs w:val="24"/>
                <w:shd w:val="clear" w:color="auto" w:fill="auto"/>
                <w:vertAlign w:val="baseline"/>
                <w:lang w:val="en-US" w:eastAsia="zh-CN"/>
              </w:rPr>
              <w:t>（四）建立多元主体协同参与机制</w:t>
            </w:r>
          </w:p>
        </w:tc>
        <w:tc>
          <w:tcPr>
            <w:tcW w:w="10740"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Lines="0" w:line="320" w:lineRule="exact"/>
              <w:ind w:left="0" w:leftChars="0" w:firstLine="482" w:firstLineChars="200"/>
              <w:textAlignment w:val="auto"/>
              <w:outlineLvl w:val="9"/>
              <w:rPr>
                <w:rFonts w:hint="eastAsia" w:ascii="仿宋_GB2312" w:hAnsi="仿宋_GB2312" w:eastAsia="仿宋_GB2312" w:cs="仿宋_GB2312"/>
                <w:b/>
                <w:bCs/>
                <w:color w:val="auto"/>
                <w:sz w:val="24"/>
                <w:szCs w:val="24"/>
                <w:highlight w:val="none"/>
                <w:shd w:val="clear" w:color="auto" w:fill="auto"/>
                <w:vertAlign w:val="baseline"/>
                <w:lang w:val="en-US" w:eastAsia="zh-CN"/>
              </w:rPr>
            </w:pPr>
            <w:r>
              <w:rPr>
                <w:rFonts w:hint="eastAsia" w:ascii="仿宋_GB2312" w:hAnsi="仿宋_GB2312" w:eastAsia="仿宋_GB2312" w:cs="仿宋_GB2312"/>
                <w:b/>
                <w:bCs/>
                <w:color w:val="auto"/>
                <w:sz w:val="24"/>
                <w:szCs w:val="24"/>
                <w:highlight w:val="none"/>
                <w:shd w:val="clear" w:color="auto" w:fill="auto"/>
                <w:vertAlign w:val="baseline"/>
                <w:lang w:val="en-US" w:eastAsia="zh-CN"/>
              </w:rPr>
              <w:t>1．江苏省苏州市吸引社会力量参与城市更新。</w:t>
            </w:r>
            <w:r>
              <w:rPr>
                <w:rFonts w:hint="eastAsia" w:ascii="仿宋_GB2312" w:hAnsi="仿宋_GB2312" w:eastAsia="仿宋_GB2312" w:cs="仿宋_GB2312"/>
                <w:b w:val="0"/>
                <w:bCs w:val="0"/>
                <w:color w:val="auto"/>
                <w:sz w:val="24"/>
                <w:szCs w:val="24"/>
                <w:highlight w:val="none"/>
                <w:shd w:val="clear" w:color="auto" w:fill="auto"/>
                <w:vertAlign w:val="baseline"/>
                <w:lang w:val="en-US" w:eastAsia="zh-CN"/>
              </w:rPr>
              <w:t>引入城市“合伙人”机制，通过赋予实施主体规划参与权、混合用地模式、给予适度奖励等手段，撬动市场主体参与积极性，构建政府引导、社会参与、市场运作、多方协同的工作机制。</w:t>
            </w:r>
          </w:p>
          <w:p>
            <w:pPr>
              <w:pStyle w:val="3"/>
              <w:keepNext w:val="0"/>
              <w:keepLines w:val="0"/>
              <w:pageBreakBefore w:val="0"/>
              <w:widowControl w:val="0"/>
              <w:kinsoku/>
              <w:wordWrap/>
              <w:overflowPunct/>
              <w:topLinePunct w:val="0"/>
              <w:autoSpaceDE/>
              <w:autoSpaceDN/>
              <w:bidi w:val="0"/>
              <w:adjustRightInd/>
              <w:snapToGrid/>
              <w:spacing w:afterLines="0" w:line="320" w:lineRule="exact"/>
              <w:ind w:left="0" w:leftChars="0" w:firstLine="482" w:firstLineChars="200"/>
              <w:textAlignment w:val="auto"/>
              <w:outlineLvl w:val="9"/>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2．重庆市九龙坡区开展“三师”进社区行动。</w:t>
            </w:r>
            <w:r>
              <w:rPr>
                <w:rFonts w:hint="eastAsia" w:ascii="仿宋_GB2312" w:hAnsi="仿宋_GB2312" w:eastAsia="仿宋_GB2312" w:cs="仿宋_GB2312"/>
                <w:snapToGrid/>
                <w:kern w:val="2"/>
                <w:szCs w:val="32"/>
              </w:rPr>
              <w:t>以“党建</w:t>
            </w:r>
            <w:r>
              <w:rPr>
                <w:rFonts w:hint="eastAsia" w:ascii="仿宋_GB2312" w:hAnsi="仿宋_GB2312" w:eastAsia="仿宋_GB2312" w:cs="仿宋_GB2312"/>
                <w:b w:val="0"/>
                <w:bCs w:val="0"/>
                <w:color w:val="auto"/>
                <w:sz w:val="24"/>
                <w:szCs w:val="24"/>
                <w:shd w:val="clear" w:color="auto" w:fill="auto"/>
                <w:vertAlign w:val="baseline"/>
                <w:lang w:val="en-US" w:eastAsia="zh-CN"/>
              </w:rPr>
              <w:t>引领、基层推动、群众点单、专业把关”为思路，统筹开展规划师、建筑师、工程师进社区行动，通过“居民提议—群众商议—社区复议—专业审议—最终决议”的工作机制确定城市更新方案，提升群众的参与度、支持率和获得感。</w:t>
            </w:r>
          </w:p>
          <w:p>
            <w:pPr>
              <w:pStyle w:val="3"/>
              <w:keepNext w:val="0"/>
              <w:keepLines w:val="0"/>
              <w:pageBreakBefore w:val="0"/>
              <w:widowControl w:val="0"/>
              <w:kinsoku/>
              <w:wordWrap/>
              <w:overflowPunct/>
              <w:topLinePunct w:val="0"/>
              <w:autoSpaceDE/>
              <w:autoSpaceDN/>
              <w:bidi w:val="0"/>
              <w:adjustRightInd/>
              <w:snapToGrid/>
              <w:spacing w:afterLines="0" w:line="320" w:lineRule="exact"/>
              <w:ind w:left="0" w:leftChars="0" w:firstLine="482" w:firstLineChars="200"/>
              <w:textAlignment w:val="auto"/>
              <w:outlineLvl w:val="9"/>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bCs/>
                <w:color w:val="auto"/>
                <w:sz w:val="24"/>
                <w:szCs w:val="24"/>
                <w:shd w:val="clear" w:color="auto" w:fill="auto"/>
                <w:vertAlign w:val="baseline"/>
                <w:lang w:val="en-US" w:eastAsia="zh-CN"/>
              </w:rPr>
              <w:t>3．江苏省南京市推动城市更新共商共建共享</w:t>
            </w:r>
            <w:r>
              <w:rPr>
                <w:rFonts w:hint="eastAsia" w:ascii="仿宋_GB2312" w:hAnsi="仿宋_GB2312" w:eastAsia="仿宋_GB2312" w:cs="仿宋_GB2312"/>
                <w:b/>
                <w:bCs/>
                <w:color w:val="auto"/>
                <w:sz w:val="24"/>
                <w:szCs w:val="24"/>
                <w:shd w:val="clear" w:color="auto" w:fill="auto"/>
                <w:vertAlign w:val="baseline"/>
                <w:lang w:val="en" w:eastAsia="zh-CN"/>
              </w:rPr>
              <w:t>。</w:t>
            </w:r>
            <w:r>
              <w:rPr>
                <w:rFonts w:hint="eastAsia" w:ascii="仿宋_GB2312" w:hAnsi="仿宋_GB2312" w:eastAsia="仿宋_GB2312" w:cs="仿宋_GB2312"/>
                <w:b w:val="0"/>
                <w:bCs w:val="0"/>
                <w:color w:val="auto"/>
                <w:sz w:val="24"/>
                <w:szCs w:val="24"/>
                <w:shd w:val="clear" w:color="auto" w:fill="auto"/>
                <w:vertAlign w:val="baseline"/>
                <w:lang w:val="en-US" w:eastAsia="zh-CN"/>
              </w:rPr>
              <w:t>小西湖历史风貌区更新项目根据风貌区空间格局及产权关系，以院落和单栋建筑为单位，采用小尺度、渐进式和“一房一策”等方式微改造，在保留原有居住功能及院落形态的前提下，居民自主选择空间功能，全过程参与公共空间设计并合作建设，共商共建共享城市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trPr>
        <w:tc>
          <w:tcPr>
            <w:tcW w:w="4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color w:val="auto"/>
                <w:sz w:val="24"/>
                <w:szCs w:val="24"/>
                <w:u w:val="none"/>
                <w:shd w:val="clear" w:color="auto" w:fill="auto"/>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color w:val="auto"/>
                <w:sz w:val="24"/>
                <w:szCs w:val="24"/>
                <w:shd w:val="clear" w:color="auto" w:fill="auto"/>
                <w:vertAlign w:val="baseline"/>
                <w:lang w:val="en-US" w:eastAsia="zh-CN"/>
              </w:rPr>
            </w:pPr>
            <w:r>
              <w:rPr>
                <w:rFonts w:hint="eastAsia" w:ascii="黑体" w:hAnsi="黑体" w:eastAsia="黑体" w:cs="黑体"/>
                <w:color w:val="auto"/>
                <w:sz w:val="24"/>
                <w:szCs w:val="24"/>
                <w:u w:val="none"/>
                <w:shd w:val="clear" w:color="auto" w:fill="auto"/>
                <w:vertAlign w:val="baseline"/>
                <w:lang w:val="en-US" w:eastAsia="zh-CN"/>
              </w:rPr>
              <w:t>三</w:t>
            </w:r>
          </w:p>
        </w:tc>
        <w:tc>
          <w:tcPr>
            <w:tcW w:w="124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b w:val="0"/>
                <w:bCs w:val="0"/>
                <w:color w:val="auto"/>
                <w:sz w:val="24"/>
                <w:szCs w:val="24"/>
                <w:shd w:val="clear" w:color="auto" w:fill="auto"/>
                <w:vertAlign w:val="baseline"/>
                <w:lang w:eastAsia="zh-CN"/>
              </w:rPr>
            </w:pPr>
          </w:p>
          <w:p>
            <w:pPr>
              <w:keepNext w:val="0"/>
              <w:keepLines w:val="0"/>
              <w:pageBreakBefore w:val="0"/>
              <w:widowControl w:val="0"/>
              <w:kinsoku/>
              <w:wordWrap/>
              <w:overflowPunct/>
              <w:topLinePunct w:val="0"/>
              <w:autoSpaceDE/>
              <w:autoSpaceDN/>
              <w:bidi w:val="0"/>
              <w:adjustRightInd/>
              <w:snapToGrid/>
              <w:spacing w:afterLines="0" w:line="320" w:lineRule="exact"/>
              <w:jc w:val="both"/>
              <w:textAlignment w:val="auto"/>
              <w:outlineLvl w:val="9"/>
              <w:rPr>
                <w:rFonts w:hint="eastAsia" w:ascii="黑体" w:hAnsi="黑体" w:eastAsia="黑体" w:cs="黑体"/>
                <w:b w:val="0"/>
                <w:bCs w:val="0"/>
                <w:color w:val="auto"/>
                <w:sz w:val="24"/>
                <w:szCs w:val="24"/>
                <w:shd w:val="clear" w:color="auto" w:fill="auto"/>
                <w:vertAlign w:val="baseline"/>
                <w:lang w:eastAsia="zh-CN"/>
              </w:rPr>
            </w:pPr>
            <w:r>
              <w:rPr>
                <w:rFonts w:hint="eastAsia" w:ascii="黑体" w:hAnsi="黑体" w:eastAsia="黑体" w:cs="黑体"/>
                <w:b w:val="0"/>
                <w:bCs w:val="0"/>
                <w:color w:val="auto"/>
                <w:sz w:val="24"/>
                <w:szCs w:val="24"/>
                <w:shd w:val="clear" w:color="auto" w:fill="auto"/>
                <w:vertAlign w:val="baseline"/>
                <w:lang w:eastAsia="zh-CN"/>
              </w:rPr>
              <w:t>创新与城市更新相配套的支持政策</w:t>
            </w:r>
          </w:p>
        </w:tc>
        <w:tc>
          <w:tcPr>
            <w:tcW w:w="1604"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both"/>
              <w:textAlignment w:val="auto"/>
              <w:outlineLvl w:val="9"/>
              <w:rPr>
                <w:rFonts w:hint="eastAsia" w:ascii="楷体_GB2312" w:hAnsi="楷体_GB2312" w:eastAsia="楷体_GB2312" w:cs="楷体_GB2312"/>
                <w:b/>
                <w:bCs/>
                <w:color w:val="auto"/>
                <w:sz w:val="24"/>
                <w:szCs w:val="24"/>
                <w:highlight w:val="none"/>
                <w:shd w:val="clear" w:color="auto" w:fill="auto"/>
                <w:vertAlign w:val="baseline"/>
                <w:lang w:val="en-US" w:eastAsia="zh-CN"/>
              </w:rPr>
            </w:pPr>
            <w:r>
              <w:rPr>
                <w:rFonts w:hint="eastAsia" w:ascii="楷体_GB2312" w:hAnsi="楷体_GB2312" w:eastAsia="楷体_GB2312" w:cs="楷体_GB2312"/>
                <w:b/>
                <w:bCs/>
                <w:color w:val="auto"/>
                <w:sz w:val="24"/>
                <w:szCs w:val="24"/>
                <w:highlight w:val="none"/>
                <w:u w:val="none"/>
                <w:shd w:val="clear" w:color="auto" w:fill="auto"/>
                <w:vertAlign w:val="baseline"/>
                <w:lang w:eastAsia="zh-CN"/>
              </w:rPr>
              <w:t>（一）完善土地政策</w:t>
            </w:r>
          </w:p>
        </w:tc>
        <w:tc>
          <w:tcPr>
            <w:tcW w:w="10740"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ind w:firstLine="482" w:firstLineChars="200"/>
              <w:jc w:val="both"/>
              <w:textAlignment w:val="auto"/>
              <w:outlineLvl w:val="9"/>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1</w:t>
            </w:r>
            <w:r>
              <w:rPr>
                <w:rFonts w:hint="eastAsia" w:ascii="仿宋_GB2312" w:hAnsi="仿宋_GB2312" w:eastAsia="仿宋_GB2312" w:cs="仿宋_GB2312"/>
                <w:b/>
                <w:bCs/>
                <w:color w:val="auto"/>
                <w:sz w:val="24"/>
                <w:szCs w:val="24"/>
                <w:shd w:val="clear" w:color="auto" w:fill="auto"/>
                <w:vertAlign w:val="baseline"/>
                <w:lang w:val="en-US" w:eastAsia="zh-CN"/>
              </w:rPr>
              <w:t>．</w:t>
            </w:r>
            <w:r>
              <w:rPr>
                <w:rFonts w:hint="eastAsia" w:ascii="仿宋_GB2312" w:hAnsi="仿宋_GB2312" w:eastAsia="仿宋_GB2312" w:cs="仿宋_GB2312"/>
                <w:b/>
                <w:bCs/>
                <w:sz w:val="24"/>
                <w:szCs w:val="24"/>
                <w:lang w:val="en-US" w:eastAsia="zh-CN"/>
              </w:rPr>
              <w:t>上海市完善零星用地整合利用方式。</w:t>
            </w:r>
            <w:r>
              <w:rPr>
                <w:rFonts w:hint="eastAsia" w:ascii="仿宋_GB2312" w:hAnsi="仿宋_GB2312" w:eastAsia="仿宋_GB2312" w:cs="仿宋_GB2312"/>
                <w:b w:val="0"/>
                <w:bCs w:val="0"/>
                <w:sz w:val="24"/>
                <w:szCs w:val="24"/>
                <w:lang w:val="en-US" w:eastAsia="zh-CN"/>
              </w:rPr>
              <w:t>同一街坊内的地块可以在相关利益人协商一致的前提下进行地块边界调整，如将城市更新地块与周边的边角地、夹心地、插花地等无法单独使用的土地合并，以及在保证公共要素的用地面积或建筑面积不减少的前提下，对规划各级公共服务设施、公共绿地和广场用地的位置进行调整。</w:t>
            </w:r>
          </w:p>
          <w:p>
            <w:pPr>
              <w:keepNext w:val="0"/>
              <w:keepLines w:val="0"/>
              <w:pageBreakBefore w:val="0"/>
              <w:widowControl w:val="0"/>
              <w:kinsoku/>
              <w:wordWrap/>
              <w:overflowPunct/>
              <w:topLinePunct w:val="0"/>
              <w:autoSpaceDE/>
              <w:autoSpaceDN/>
              <w:bidi w:val="0"/>
              <w:adjustRightInd/>
              <w:snapToGrid/>
              <w:spacing w:afterLines="0" w:line="320" w:lineRule="exact"/>
              <w:ind w:firstLine="482" w:firstLineChars="2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sz w:val="24"/>
                <w:szCs w:val="24"/>
                <w:lang w:val="en-US" w:eastAsia="zh-CN"/>
              </w:rPr>
              <w:t>2．重庆市鼓励用地指标弹性配置。</w:t>
            </w:r>
            <w:r>
              <w:rPr>
                <w:rFonts w:hint="eastAsia" w:ascii="仿宋_GB2312" w:hAnsi="仿宋_GB2312" w:eastAsia="仿宋_GB2312" w:cs="仿宋_GB2312"/>
                <w:b w:val="0"/>
                <w:bCs w:val="0"/>
                <w:sz w:val="24"/>
                <w:szCs w:val="24"/>
                <w:lang w:val="en-US" w:eastAsia="zh-CN"/>
              </w:rPr>
              <w:t>给予增加公共服务功能的城市更新项目建筑规模奖励，有条件的可按不超过原计容建筑面积15%左右比例给予建筑面积支持。如，在沙坪坝区和坪山社区整治提升项目中，运用住房成套化改造的相关支持政策，对原有D级危险房屋进行拆除后增容扩建约1300平方米，增容面积用于完善房屋使用功能、新建底层社区配套服务用房等。</w:t>
            </w:r>
          </w:p>
          <w:p>
            <w:pPr>
              <w:keepNext w:val="0"/>
              <w:keepLines w:val="0"/>
              <w:pageBreakBefore w:val="0"/>
              <w:widowControl w:val="0"/>
              <w:kinsoku/>
              <w:wordWrap/>
              <w:overflowPunct/>
              <w:topLinePunct w:val="0"/>
              <w:autoSpaceDE/>
              <w:autoSpaceDN/>
              <w:bidi w:val="0"/>
              <w:adjustRightInd/>
              <w:snapToGrid/>
              <w:spacing w:afterLines="0" w:line="320" w:lineRule="exact"/>
              <w:ind w:firstLine="482" w:firstLineChars="200"/>
              <w:jc w:val="both"/>
              <w:textAlignment w:val="auto"/>
              <w:outlineLvl w:val="9"/>
              <w:rPr>
                <w:rFonts w:hint="eastAsia" w:ascii="仿宋_GB2312" w:hAnsi="仿宋_GB2312" w:eastAsia="仿宋_GB2312" w:cs="仿宋_GB2312"/>
                <w:b w:val="0"/>
                <w:bCs w:val="0"/>
                <w:color w:val="auto"/>
                <w:sz w:val="24"/>
                <w:szCs w:val="24"/>
                <w:shd w:val="clear" w:color="auto" w:fill="auto"/>
                <w:vertAlign w:val="baseline"/>
                <w:lang w:val="en-US" w:eastAsia="zh-CN"/>
              </w:rPr>
            </w:pPr>
            <w:r>
              <w:rPr>
                <w:rFonts w:hint="eastAsia" w:ascii="仿宋_GB2312" w:hAnsi="仿宋_GB2312" w:eastAsia="仿宋_GB2312" w:cs="仿宋_GB2312"/>
                <w:b/>
                <w:bCs/>
                <w:sz w:val="24"/>
                <w:szCs w:val="24"/>
                <w:lang w:val="en-US" w:eastAsia="zh-CN"/>
              </w:rPr>
              <w:t>3．湖北省黄石市给予存量用地用途转换过渡期政策。</w:t>
            </w:r>
            <w:r>
              <w:rPr>
                <w:rFonts w:hint="eastAsia" w:ascii="仿宋_GB2312" w:hAnsi="仿宋_GB2312" w:eastAsia="仿宋_GB2312" w:cs="仿宋_GB2312"/>
                <w:color w:val="000000"/>
                <w:sz w:val="24"/>
                <w:highlight w:val="none"/>
                <w:shd w:val="clear" w:color="auto" w:fill="auto"/>
              </w:rPr>
              <w:t>鼓励利用存量土地资源和房产发展文化创意、医养结合、健康养老、科技创新等新产业、新业态，由相关行业主管部门提供证明文件，可享受按原用途、原权利类型使用土地的过渡期政策。过渡期以5年为限，5年期满或转让需办理用地手续的，可按新用途、新权利类型，以协议方式办理用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trPr>
        <w:tc>
          <w:tcPr>
            <w:tcW w:w="4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黑体" w:hAnsi="黑体" w:eastAsia="黑体" w:cs="黑体"/>
                <w:color w:val="auto"/>
                <w:sz w:val="24"/>
                <w:szCs w:val="24"/>
                <w:u w:val="none"/>
                <w:shd w:val="clear" w:color="auto" w:fill="auto"/>
                <w:vertAlign w:val="baseline"/>
                <w:lang w:val="en-US" w:eastAsia="zh-CN"/>
              </w:rPr>
            </w:pPr>
          </w:p>
        </w:tc>
        <w:tc>
          <w:tcPr>
            <w:tcW w:w="124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center"/>
              <w:textAlignment w:val="auto"/>
              <w:outlineLvl w:val="9"/>
              <w:rPr>
                <w:rFonts w:hint="eastAsia" w:ascii="楷体_GB2312" w:hAnsi="楷体_GB2312" w:eastAsia="楷体_GB2312" w:cs="楷体_GB2312"/>
                <w:b/>
                <w:bCs/>
                <w:color w:val="auto"/>
                <w:sz w:val="24"/>
                <w:szCs w:val="24"/>
                <w:u w:val="none"/>
                <w:shd w:val="clear" w:color="auto" w:fill="auto"/>
                <w:vertAlign w:val="baseline"/>
                <w:lang w:val="en-US" w:eastAsia="zh-CN"/>
              </w:rPr>
            </w:pPr>
          </w:p>
        </w:tc>
        <w:tc>
          <w:tcPr>
            <w:tcW w:w="1604" w:type="dxa"/>
            <w:noWrap w:val="0"/>
            <w:vAlign w:val="center"/>
          </w:tcPr>
          <w:p>
            <w:pPr>
              <w:keepNext w:val="0"/>
              <w:keepLines w:val="0"/>
              <w:pageBreakBefore w:val="0"/>
              <w:widowControl w:val="0"/>
              <w:kinsoku/>
              <w:wordWrap/>
              <w:overflowPunct/>
              <w:topLinePunct w:val="0"/>
              <w:autoSpaceDE/>
              <w:autoSpaceDN/>
              <w:bidi w:val="0"/>
              <w:adjustRightInd/>
              <w:snapToGrid/>
              <w:spacing w:afterLines="0" w:line="320" w:lineRule="exact"/>
              <w:jc w:val="both"/>
              <w:textAlignment w:val="auto"/>
              <w:outlineLvl w:val="9"/>
              <w:rPr>
                <w:rFonts w:hint="eastAsia" w:ascii="楷体_GB2312" w:hAnsi="楷体_GB2312" w:eastAsia="楷体_GB2312" w:cs="楷体_GB2312"/>
                <w:b/>
                <w:bCs/>
                <w:color w:val="auto"/>
                <w:sz w:val="24"/>
                <w:szCs w:val="24"/>
                <w:u w:val="none"/>
                <w:shd w:val="clear" w:color="auto" w:fill="auto"/>
                <w:vertAlign w:val="baseline"/>
                <w:lang w:val="en-US" w:eastAsia="zh-CN"/>
              </w:rPr>
            </w:pPr>
            <w:r>
              <w:rPr>
                <w:rFonts w:hint="eastAsia" w:ascii="楷体_GB2312" w:hAnsi="楷体_GB2312" w:eastAsia="楷体_GB2312" w:cs="楷体_GB2312"/>
                <w:b/>
                <w:bCs/>
                <w:color w:val="auto"/>
                <w:sz w:val="24"/>
                <w:szCs w:val="24"/>
                <w:u w:val="none"/>
                <w:shd w:val="clear" w:color="auto" w:fill="auto"/>
                <w:vertAlign w:val="baseline"/>
                <w:lang w:val="en-US" w:eastAsia="zh-CN"/>
              </w:rPr>
              <w:t>（二）优化审批流程</w:t>
            </w:r>
          </w:p>
        </w:tc>
        <w:tc>
          <w:tcPr>
            <w:tcW w:w="10740" w:type="dxa"/>
            <w:noWrap w:val="0"/>
            <w:vAlign w:val="center"/>
          </w:tcPr>
          <w:p>
            <w:pPr>
              <w:numPr>
                <w:ilvl w:val="0"/>
                <w:numId w:val="0"/>
              </w:numPr>
              <w:spacing w:afterLines="0" w:line="320" w:lineRule="exact"/>
              <w:ind w:firstLine="482" w:firstLineChars="200"/>
              <w:rPr>
                <w:rFonts w:hint="eastAsia" w:ascii="仿宋_GB2312" w:hAnsi="仿宋_GB2312" w:eastAsia="仿宋_GB2312" w:cs="仿宋_GB2312"/>
                <w:color w:val="000000"/>
                <w:sz w:val="24"/>
                <w:shd w:val="clear" w:color="auto" w:fill="auto"/>
              </w:rPr>
            </w:pPr>
            <w:r>
              <w:rPr>
                <w:rFonts w:hint="eastAsia" w:ascii="仿宋_GB2312" w:hAnsi="仿宋_GB2312" w:eastAsia="仿宋_GB2312" w:cs="仿宋_GB2312"/>
                <w:b/>
                <w:bCs/>
                <w:color w:val="000000"/>
                <w:sz w:val="24"/>
                <w:shd w:val="clear" w:color="auto" w:fill="auto"/>
                <w:lang w:val="en-US" w:eastAsia="zh-CN"/>
              </w:rPr>
              <w:t>1. 北京市简化简易低风险工程建设项目审批要求。</w:t>
            </w:r>
            <w:r>
              <w:rPr>
                <w:rFonts w:hint="eastAsia" w:ascii="仿宋_GB2312" w:hAnsi="仿宋_GB2312" w:eastAsia="仿宋_GB2312" w:cs="仿宋_GB2312"/>
                <w:color w:val="000000"/>
                <w:sz w:val="24"/>
                <w:shd w:val="clear" w:color="auto" w:fill="auto"/>
              </w:rPr>
              <w:t>对于社会投资、符合低风险等级、地上建筑面积不大于10000平方米等条件的建设项目，纳入“一站通”系统，可“一表式”完成立项、建设工程规划许可申办等手续，精简审批事项、压缩审批时限，为社会主体参与更新改造提供便利。</w:t>
            </w:r>
          </w:p>
          <w:p>
            <w:pPr>
              <w:numPr>
                <w:ilvl w:val="0"/>
                <w:numId w:val="0"/>
              </w:numPr>
              <w:spacing w:afterLines="0" w:line="320" w:lineRule="exact"/>
              <w:ind w:firstLine="482" w:firstLineChars="200"/>
              <w:rPr>
                <w:rFonts w:hint="eastAsia" w:ascii="仿宋_GB2312" w:hAnsi="仿宋_GB2312" w:eastAsia="仿宋_GB2312" w:cs="仿宋_GB2312"/>
                <w:color w:val="000000"/>
                <w:sz w:val="24"/>
                <w:shd w:val="clear" w:color="auto" w:fill="auto"/>
              </w:rPr>
            </w:pPr>
            <w:r>
              <w:rPr>
                <w:rFonts w:hint="eastAsia" w:ascii="仿宋_GB2312" w:hAnsi="仿宋_GB2312" w:eastAsia="仿宋_GB2312" w:cs="仿宋_GB2312"/>
                <w:b/>
                <w:bCs/>
                <w:color w:val="auto"/>
                <w:sz w:val="24"/>
                <w:szCs w:val="24"/>
                <w:u w:val="none"/>
                <w:shd w:val="clear" w:color="auto" w:fill="auto"/>
                <w:vertAlign w:val="baseline"/>
                <w:lang w:val="en-US" w:eastAsia="zh-CN"/>
              </w:rPr>
              <w:t>2．河北省</w:t>
            </w:r>
            <w:r>
              <w:rPr>
                <w:rFonts w:hint="eastAsia" w:ascii="仿宋_GB2312" w:hAnsi="仿宋_GB2312" w:eastAsia="仿宋_GB2312" w:cs="仿宋_GB2312"/>
                <w:b/>
                <w:bCs/>
                <w:color w:val="000000"/>
                <w:sz w:val="24"/>
                <w:shd w:val="clear" w:color="auto" w:fill="auto"/>
                <w:lang w:eastAsia="zh-CN"/>
              </w:rPr>
              <w:t>唐山市分类制定</w:t>
            </w:r>
            <w:r>
              <w:rPr>
                <w:rFonts w:hint="eastAsia" w:ascii="仿宋_GB2312" w:hAnsi="仿宋_GB2312" w:eastAsia="仿宋_GB2312" w:cs="仿宋_GB2312"/>
                <w:b/>
                <w:bCs/>
                <w:color w:val="000000"/>
                <w:sz w:val="24"/>
                <w:shd w:val="clear" w:color="auto" w:fill="auto"/>
              </w:rPr>
              <w:t>简化审批流程方案</w:t>
            </w:r>
            <w:r>
              <w:rPr>
                <w:rFonts w:hint="eastAsia" w:ascii="仿宋_GB2312" w:hAnsi="仿宋_GB2312" w:eastAsia="仿宋_GB2312" w:cs="仿宋_GB2312"/>
                <w:b/>
                <w:bCs/>
                <w:color w:val="000000"/>
                <w:sz w:val="24"/>
                <w:shd w:val="clear" w:color="auto" w:fill="auto"/>
                <w:lang w:eastAsia="zh-CN"/>
              </w:rPr>
              <w:t>。</w:t>
            </w:r>
            <w:r>
              <w:rPr>
                <w:rFonts w:hint="eastAsia" w:ascii="仿宋_GB2312" w:hAnsi="仿宋_GB2312" w:eastAsia="仿宋_GB2312" w:cs="仿宋_GB2312"/>
                <w:color w:val="000000"/>
                <w:sz w:val="24"/>
                <w:shd w:val="clear" w:color="auto" w:fill="auto"/>
              </w:rPr>
              <w:t>采取打包审批、联合审批、联合验收等方式简化房屋建筑、市政基础设施审批环节</w:t>
            </w:r>
            <w:r>
              <w:rPr>
                <w:rFonts w:hint="eastAsia" w:ascii="仿宋_GB2312" w:hAnsi="仿宋_GB2312" w:eastAsia="仿宋_GB2312" w:cs="仿宋_GB2312"/>
                <w:color w:val="000000"/>
                <w:sz w:val="24"/>
                <w:shd w:val="clear" w:color="auto" w:fill="auto"/>
                <w:lang w:eastAsia="zh-CN"/>
              </w:rPr>
              <w:t>，</w:t>
            </w:r>
            <w:r>
              <w:rPr>
                <w:rFonts w:hint="eastAsia" w:ascii="仿宋_GB2312" w:hAnsi="仿宋_GB2312" w:eastAsia="仿宋_GB2312" w:cs="仿宋_GB2312"/>
                <w:color w:val="000000"/>
                <w:sz w:val="24"/>
                <w:shd w:val="clear" w:color="auto" w:fill="auto"/>
              </w:rPr>
              <w:t>针对更新单元中的新建工业项目和重点项目、特殊项目分类制定简化审批流程方案，逐步推进城市更新审批事项同级化。</w:t>
            </w:r>
          </w:p>
          <w:p>
            <w:pPr>
              <w:numPr>
                <w:ilvl w:val="0"/>
                <w:numId w:val="0"/>
              </w:numPr>
              <w:spacing w:afterLines="0" w:line="320" w:lineRule="exact"/>
              <w:ind w:firstLine="482" w:firstLineChars="200"/>
              <w:rPr>
                <w:rFonts w:hint="eastAsia" w:ascii="仿宋_GB2312" w:hAnsi="仿宋_GB2312" w:eastAsia="仿宋_GB2312" w:cs="仿宋_GB2312"/>
                <w:b w:val="0"/>
                <w:bCs w:val="0"/>
                <w:color w:val="auto"/>
                <w:sz w:val="24"/>
                <w:szCs w:val="24"/>
                <w:u w:val="none"/>
                <w:shd w:val="clear" w:color="auto" w:fill="auto"/>
                <w:vertAlign w:val="baseline"/>
                <w:lang w:val="en-US" w:eastAsia="zh-CN"/>
              </w:rPr>
            </w:pPr>
            <w:r>
              <w:rPr>
                <w:rFonts w:hint="eastAsia" w:ascii="仿宋_GB2312" w:hAnsi="仿宋_GB2312" w:eastAsia="仿宋_GB2312" w:cs="仿宋_GB2312"/>
                <w:b/>
                <w:bCs/>
                <w:color w:val="auto"/>
                <w:sz w:val="24"/>
                <w:szCs w:val="24"/>
                <w:u w:val="none"/>
                <w:shd w:val="clear" w:color="auto" w:fill="auto"/>
                <w:vertAlign w:val="baseline"/>
                <w:lang w:val="en-US" w:eastAsia="zh-CN"/>
              </w:rPr>
              <w:t>3．湖北省</w:t>
            </w:r>
            <w:r>
              <w:rPr>
                <w:rFonts w:hint="eastAsia" w:ascii="仿宋_GB2312" w:hAnsi="仿宋_GB2312" w:eastAsia="仿宋_GB2312" w:cs="仿宋_GB2312"/>
                <w:b/>
                <w:bCs/>
                <w:color w:val="000000"/>
                <w:sz w:val="24"/>
                <w:shd w:val="clear" w:color="auto" w:fill="auto"/>
                <w:lang w:eastAsia="zh-CN"/>
              </w:rPr>
              <w:t>黄石市建立城市更新项目审批</w:t>
            </w:r>
            <w:r>
              <w:rPr>
                <w:rFonts w:hint="eastAsia" w:ascii="仿宋_GB2312" w:hAnsi="仿宋_GB2312" w:eastAsia="仿宋_GB2312" w:cs="仿宋_GB2312"/>
                <w:b/>
                <w:bCs/>
                <w:color w:val="000000"/>
                <w:sz w:val="24"/>
                <w:shd w:val="clear" w:color="auto" w:fill="auto"/>
              </w:rPr>
              <w:t>“绿色通道”</w:t>
            </w:r>
            <w:r>
              <w:rPr>
                <w:rFonts w:hint="eastAsia" w:ascii="仿宋_GB2312" w:hAnsi="仿宋_GB2312" w:eastAsia="仿宋_GB2312" w:cs="仿宋_GB2312"/>
                <w:b/>
                <w:bCs/>
                <w:color w:val="000000"/>
                <w:sz w:val="24"/>
                <w:shd w:val="clear" w:color="auto" w:fill="auto"/>
                <w:lang w:eastAsia="zh-CN"/>
              </w:rPr>
              <w:t>。</w:t>
            </w:r>
            <w:r>
              <w:rPr>
                <w:rFonts w:hint="eastAsia" w:ascii="仿宋_GB2312" w:hAnsi="仿宋_GB2312" w:eastAsia="仿宋_GB2312" w:cs="仿宋_GB2312"/>
                <w:color w:val="000000"/>
                <w:sz w:val="24"/>
                <w:shd w:val="clear" w:color="auto" w:fill="auto"/>
                <w:lang w:eastAsia="zh-CN"/>
              </w:rPr>
              <w:t>对于</w:t>
            </w:r>
            <w:r>
              <w:rPr>
                <w:rFonts w:hint="eastAsia" w:ascii="仿宋_GB2312" w:hAnsi="仿宋_GB2312" w:eastAsia="仿宋_GB2312" w:cs="仿宋_GB2312"/>
                <w:color w:val="000000"/>
                <w:sz w:val="24"/>
                <w:shd w:val="clear" w:color="auto" w:fill="auto"/>
              </w:rPr>
              <w:t>配建公共设施或房屋改造的项目，免于办理建设工程规划许可</w:t>
            </w:r>
            <w:r>
              <w:rPr>
                <w:rFonts w:hint="eastAsia" w:ascii="仿宋_GB2312" w:hAnsi="仿宋_GB2312" w:eastAsia="仿宋_GB2312" w:cs="仿宋_GB2312"/>
                <w:color w:val="000000"/>
                <w:sz w:val="24"/>
                <w:shd w:val="clear" w:color="auto" w:fill="auto"/>
                <w:lang w:eastAsia="zh-CN"/>
              </w:rPr>
              <w:t>。</w:t>
            </w:r>
            <w:r>
              <w:rPr>
                <w:rFonts w:hint="eastAsia" w:ascii="仿宋_GB2312" w:hAnsi="仿宋_GB2312" w:eastAsia="仿宋_GB2312" w:cs="仿宋_GB2312"/>
                <w:color w:val="000000"/>
                <w:sz w:val="24"/>
                <w:shd w:val="clear" w:color="auto" w:fill="auto"/>
              </w:rPr>
              <w:t>建设项目按照“先建后验”的规定办理施工许可，相关部门同步介入工程质量、安全、消防监管。</w:t>
            </w:r>
          </w:p>
        </w:tc>
      </w:tr>
    </w:tbl>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color w:val="auto"/>
          <w:sz w:val="32"/>
          <w:szCs w:val="32"/>
          <w:shd w:val="clear" w:color="auto" w:fill="auto"/>
        </w:rPr>
      </w:pPr>
    </w:p>
    <w:sectPr>
      <w:footerReference r:id="rId3" w:type="default"/>
      <w:pgSz w:w="16838" w:h="11906" w:orient="landscape"/>
      <w:pgMar w:top="1531" w:right="1440" w:bottom="1531" w:left="1440" w:header="851" w:footer="992" w:gutter="0"/>
      <w:paperSrc/>
      <w:pgBorders w:offsetFrom="page">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1A7B48-7302-4AFF-AE96-A9704D6B40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513D8E1-9BCF-4618-A17D-E1D094A40B89}"/>
  </w:font>
  <w:font w:name="DejaVu Sans">
    <w:altName w:val="Segoe Print"/>
    <w:panose1 w:val="020B0603030804020204"/>
    <w:charset w:val="00"/>
    <w:family w:val="roman"/>
    <w:pitch w:val="default"/>
    <w:sig w:usb0="E7006EFF" w:usb1="D200FDFF" w:usb2="0A246029" w:usb3="0400200C" w:csb0="600001FF" w:csb1="DFFF0000"/>
  </w:font>
  <w:font w:name="Segoe Print">
    <w:panose1 w:val="02000600000000000000"/>
    <w:charset w:val="00"/>
    <w:family w:val="auto"/>
    <w:pitch w:val="default"/>
    <w:sig w:usb0="0000028F" w:usb1="00000000" w:usb2="00000000" w:usb3="00000000" w:csb0="2000009F" w:csb1="47010000"/>
  </w:font>
  <w:font w:name="Arial Unicode MS">
    <w:altName w:val="Arial"/>
    <w:panose1 w:val="020B0604020202020204"/>
    <w:charset w:val="00"/>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3" w:fontKey="{48741190-ED6B-462B-BDC7-136911493103}"/>
  </w:font>
  <w:font w:name="楷体_GB2312">
    <w:panose1 w:val="02010609030101010101"/>
    <w:charset w:val="86"/>
    <w:family w:val="auto"/>
    <w:pitch w:val="default"/>
    <w:sig w:usb0="00000001" w:usb1="080E0000" w:usb2="00000000" w:usb3="00000000" w:csb0="00040000" w:csb1="00000000"/>
    <w:embedRegular r:id="rId4" w:fontKey="{360EC03B-BAAE-4089-870F-5738F856A140}"/>
  </w:font>
  <w:font w:name="仿宋_GB2312">
    <w:panose1 w:val="02010609030101010101"/>
    <w:charset w:val="86"/>
    <w:family w:val="auto"/>
    <w:pitch w:val="default"/>
    <w:sig w:usb0="00000001" w:usb1="080E0000" w:usb2="00000000" w:usb3="00000000" w:csb0="00040000" w:csb1="00000000"/>
    <w:embedRegular r:id="rId5" w:fontKey="{F8217FE7-3C6B-44C1-AF0B-2B8C083FD7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FFA15"/>
    <w:rsid w:val="0C8F7FC6"/>
    <w:rsid w:val="0E7F6019"/>
    <w:rsid w:val="0FF94F79"/>
    <w:rsid w:val="17FFDDF7"/>
    <w:rsid w:val="1B7CBBC6"/>
    <w:rsid w:val="1C5B17DD"/>
    <w:rsid w:val="1C727F9C"/>
    <w:rsid w:val="1CFE7427"/>
    <w:rsid w:val="1CFF09FC"/>
    <w:rsid w:val="1F5E998D"/>
    <w:rsid w:val="1FF6D4EE"/>
    <w:rsid w:val="26DF87F0"/>
    <w:rsid w:val="27FF96F3"/>
    <w:rsid w:val="2AB71538"/>
    <w:rsid w:val="2AEF0497"/>
    <w:rsid w:val="2CDF97EA"/>
    <w:rsid w:val="2EF35082"/>
    <w:rsid w:val="2F6F7915"/>
    <w:rsid w:val="2FABFB31"/>
    <w:rsid w:val="2FC76D9E"/>
    <w:rsid w:val="2FDD04A3"/>
    <w:rsid w:val="3035CC3F"/>
    <w:rsid w:val="30BB69FC"/>
    <w:rsid w:val="33FE6A90"/>
    <w:rsid w:val="35EBEC7F"/>
    <w:rsid w:val="36BDE86D"/>
    <w:rsid w:val="377E0D79"/>
    <w:rsid w:val="37DF6E19"/>
    <w:rsid w:val="37DFAE77"/>
    <w:rsid w:val="37E7844C"/>
    <w:rsid w:val="37EEB564"/>
    <w:rsid w:val="38FFCBF2"/>
    <w:rsid w:val="3D73EAEB"/>
    <w:rsid w:val="3DBF6695"/>
    <w:rsid w:val="3E7E3B78"/>
    <w:rsid w:val="3E7F7710"/>
    <w:rsid w:val="3EBF7B98"/>
    <w:rsid w:val="3EFFC917"/>
    <w:rsid w:val="3F7A4071"/>
    <w:rsid w:val="3F7B8F13"/>
    <w:rsid w:val="3F9F8613"/>
    <w:rsid w:val="3FBE2C89"/>
    <w:rsid w:val="3FBF61D1"/>
    <w:rsid w:val="3FEDF99C"/>
    <w:rsid w:val="3FFA0C47"/>
    <w:rsid w:val="3FFF50D9"/>
    <w:rsid w:val="3FFFDE6D"/>
    <w:rsid w:val="3FFFE7AD"/>
    <w:rsid w:val="48B78733"/>
    <w:rsid w:val="4BFB4724"/>
    <w:rsid w:val="4D1F43BC"/>
    <w:rsid w:val="4EEE0976"/>
    <w:rsid w:val="4FDD91F3"/>
    <w:rsid w:val="52BD8210"/>
    <w:rsid w:val="53ED86CB"/>
    <w:rsid w:val="57FC714E"/>
    <w:rsid w:val="57FCEDDE"/>
    <w:rsid w:val="59FEE2C9"/>
    <w:rsid w:val="5ABF50AF"/>
    <w:rsid w:val="5ADF5D36"/>
    <w:rsid w:val="5B28C183"/>
    <w:rsid w:val="5BDB5D13"/>
    <w:rsid w:val="5BFD3640"/>
    <w:rsid w:val="5BFF8FE4"/>
    <w:rsid w:val="5CDFD696"/>
    <w:rsid w:val="5D59EB1A"/>
    <w:rsid w:val="5DB6DFEE"/>
    <w:rsid w:val="5DFF3486"/>
    <w:rsid w:val="5F1D0C2A"/>
    <w:rsid w:val="5F33D661"/>
    <w:rsid w:val="5F5E176C"/>
    <w:rsid w:val="5F8D9320"/>
    <w:rsid w:val="5FBE9789"/>
    <w:rsid w:val="5FED909F"/>
    <w:rsid w:val="5FF779DB"/>
    <w:rsid w:val="5FFAD98B"/>
    <w:rsid w:val="5FFC4188"/>
    <w:rsid w:val="5FFF0172"/>
    <w:rsid w:val="60A7FA67"/>
    <w:rsid w:val="63F5BD0A"/>
    <w:rsid w:val="677FCF60"/>
    <w:rsid w:val="67BB5D35"/>
    <w:rsid w:val="67FFB902"/>
    <w:rsid w:val="6AAD85A7"/>
    <w:rsid w:val="6ABD73A7"/>
    <w:rsid w:val="6BD6E8ED"/>
    <w:rsid w:val="6CFE9C8E"/>
    <w:rsid w:val="6D7FB2B8"/>
    <w:rsid w:val="6EAC2684"/>
    <w:rsid w:val="6EFBEAFA"/>
    <w:rsid w:val="6F8F546F"/>
    <w:rsid w:val="6FD5D22B"/>
    <w:rsid w:val="6FE9080C"/>
    <w:rsid w:val="6FFE3E0E"/>
    <w:rsid w:val="71D7B55A"/>
    <w:rsid w:val="721DDC3B"/>
    <w:rsid w:val="736F3AAA"/>
    <w:rsid w:val="73EFEAA3"/>
    <w:rsid w:val="73FBA3CD"/>
    <w:rsid w:val="747FF21B"/>
    <w:rsid w:val="74DB2F81"/>
    <w:rsid w:val="75EF2896"/>
    <w:rsid w:val="77BF1CAF"/>
    <w:rsid w:val="77CBA999"/>
    <w:rsid w:val="77DD5FC2"/>
    <w:rsid w:val="77E409F7"/>
    <w:rsid w:val="77EFFDEB"/>
    <w:rsid w:val="77F7BF17"/>
    <w:rsid w:val="79D91F14"/>
    <w:rsid w:val="79FB73AD"/>
    <w:rsid w:val="79FCAF4F"/>
    <w:rsid w:val="7AEE6A9B"/>
    <w:rsid w:val="7AF7288E"/>
    <w:rsid w:val="7AF9F7C1"/>
    <w:rsid w:val="7B5BEE05"/>
    <w:rsid w:val="7B5FE005"/>
    <w:rsid w:val="7B7D658F"/>
    <w:rsid w:val="7BE62196"/>
    <w:rsid w:val="7BEBD293"/>
    <w:rsid w:val="7BEFC76D"/>
    <w:rsid w:val="7BEFF2BD"/>
    <w:rsid w:val="7BF6C424"/>
    <w:rsid w:val="7BF7258A"/>
    <w:rsid w:val="7D5E3BBA"/>
    <w:rsid w:val="7D6B8E1D"/>
    <w:rsid w:val="7DCEDAC7"/>
    <w:rsid w:val="7DDD666D"/>
    <w:rsid w:val="7DDF28F9"/>
    <w:rsid w:val="7DED8E70"/>
    <w:rsid w:val="7DFA8494"/>
    <w:rsid w:val="7DFE2715"/>
    <w:rsid w:val="7DFEEA55"/>
    <w:rsid w:val="7E1D0BC7"/>
    <w:rsid w:val="7EBF58FA"/>
    <w:rsid w:val="7EBF7CA3"/>
    <w:rsid w:val="7EBFE4FE"/>
    <w:rsid w:val="7ED9F80A"/>
    <w:rsid w:val="7EF7E612"/>
    <w:rsid w:val="7EFB71EA"/>
    <w:rsid w:val="7F071FA6"/>
    <w:rsid w:val="7F3F8E63"/>
    <w:rsid w:val="7F6A7948"/>
    <w:rsid w:val="7F755D35"/>
    <w:rsid w:val="7F7DEE72"/>
    <w:rsid w:val="7F7EFB2F"/>
    <w:rsid w:val="7F7F68DA"/>
    <w:rsid w:val="7F97BB0F"/>
    <w:rsid w:val="7FBB40D0"/>
    <w:rsid w:val="7FBBE149"/>
    <w:rsid w:val="7FD6A978"/>
    <w:rsid w:val="7FDF9C65"/>
    <w:rsid w:val="7FE7AD7F"/>
    <w:rsid w:val="7FEFA3F6"/>
    <w:rsid w:val="7FF42AD5"/>
    <w:rsid w:val="7FF9931A"/>
    <w:rsid w:val="7FFD33FA"/>
    <w:rsid w:val="7FFE694D"/>
    <w:rsid w:val="7FFF83BA"/>
    <w:rsid w:val="7FFFAE8C"/>
    <w:rsid w:val="7FFFC826"/>
    <w:rsid w:val="82DAE36E"/>
    <w:rsid w:val="8DEBCF29"/>
    <w:rsid w:val="973FE058"/>
    <w:rsid w:val="98FF83EC"/>
    <w:rsid w:val="9DBD71B5"/>
    <w:rsid w:val="9DDDD8BE"/>
    <w:rsid w:val="9EEF4AD1"/>
    <w:rsid w:val="9FD40828"/>
    <w:rsid w:val="9FD7B332"/>
    <w:rsid w:val="9FFB28A7"/>
    <w:rsid w:val="A3FBB33B"/>
    <w:rsid w:val="A4FFE5B6"/>
    <w:rsid w:val="AE6F692A"/>
    <w:rsid w:val="AFB7F657"/>
    <w:rsid w:val="B13DF08B"/>
    <w:rsid w:val="B5F76975"/>
    <w:rsid w:val="B77FF0B8"/>
    <w:rsid w:val="B7EFE849"/>
    <w:rsid w:val="B7FDA368"/>
    <w:rsid w:val="B7FF9E1E"/>
    <w:rsid w:val="B9974E30"/>
    <w:rsid w:val="BA7F4B89"/>
    <w:rsid w:val="BABD91ED"/>
    <w:rsid w:val="BBB37E6A"/>
    <w:rsid w:val="BBD56FD8"/>
    <w:rsid w:val="BBDD7C21"/>
    <w:rsid w:val="BBEBEC68"/>
    <w:rsid w:val="BCFCE773"/>
    <w:rsid w:val="BD4DF0C0"/>
    <w:rsid w:val="BEF6DA46"/>
    <w:rsid w:val="BEF7D145"/>
    <w:rsid w:val="BF6F2A38"/>
    <w:rsid w:val="BF7748B7"/>
    <w:rsid w:val="BFD980E4"/>
    <w:rsid w:val="BFDF8A3D"/>
    <w:rsid w:val="BFFF188A"/>
    <w:rsid w:val="BFFF81C8"/>
    <w:rsid w:val="BFFFC217"/>
    <w:rsid w:val="C5EBD14F"/>
    <w:rsid w:val="C77FC809"/>
    <w:rsid w:val="C83F544B"/>
    <w:rsid w:val="CCF94FF2"/>
    <w:rsid w:val="CD6670FF"/>
    <w:rsid w:val="CEFFB71B"/>
    <w:rsid w:val="CFDA6D63"/>
    <w:rsid w:val="CFEEEEEF"/>
    <w:rsid w:val="CFFC2840"/>
    <w:rsid w:val="D3BC9A60"/>
    <w:rsid w:val="D537325A"/>
    <w:rsid w:val="D5E7AA43"/>
    <w:rsid w:val="D6BFA2BA"/>
    <w:rsid w:val="D6BFA867"/>
    <w:rsid w:val="D7EF3DC4"/>
    <w:rsid w:val="D7FB425E"/>
    <w:rsid w:val="D7FF8145"/>
    <w:rsid w:val="D7FFB683"/>
    <w:rsid w:val="D9B77337"/>
    <w:rsid w:val="DAFF461E"/>
    <w:rsid w:val="DBF36461"/>
    <w:rsid w:val="DBF78517"/>
    <w:rsid w:val="DBF990EC"/>
    <w:rsid w:val="DCDD4236"/>
    <w:rsid w:val="DF7FA1F9"/>
    <w:rsid w:val="DFBBD79A"/>
    <w:rsid w:val="DFBE887A"/>
    <w:rsid w:val="DFE59C32"/>
    <w:rsid w:val="DFF71D21"/>
    <w:rsid w:val="DFFFFDF0"/>
    <w:rsid w:val="E0FB5F76"/>
    <w:rsid w:val="E33F11F5"/>
    <w:rsid w:val="E47F6B95"/>
    <w:rsid w:val="E4FE525E"/>
    <w:rsid w:val="EAB28DD1"/>
    <w:rsid w:val="EB6F1025"/>
    <w:rsid w:val="EB756EC6"/>
    <w:rsid w:val="EBC50D07"/>
    <w:rsid w:val="EF1B5EE4"/>
    <w:rsid w:val="EF4B1546"/>
    <w:rsid w:val="EF5B55ED"/>
    <w:rsid w:val="EFFE03B7"/>
    <w:rsid w:val="F13F5CE5"/>
    <w:rsid w:val="F19E7649"/>
    <w:rsid w:val="F2995E7B"/>
    <w:rsid w:val="F29D21CA"/>
    <w:rsid w:val="F3E6F0DD"/>
    <w:rsid w:val="F3F8BE4F"/>
    <w:rsid w:val="F4BED231"/>
    <w:rsid w:val="F56DD96A"/>
    <w:rsid w:val="F5AA10B8"/>
    <w:rsid w:val="F77FD431"/>
    <w:rsid w:val="F7DF2787"/>
    <w:rsid w:val="F7FA6427"/>
    <w:rsid w:val="F9D70086"/>
    <w:rsid w:val="F9FE6233"/>
    <w:rsid w:val="F9FE9050"/>
    <w:rsid w:val="F9FFAE1E"/>
    <w:rsid w:val="FA9AD202"/>
    <w:rsid w:val="FAF97EEB"/>
    <w:rsid w:val="FB5E16B9"/>
    <w:rsid w:val="FBB3D332"/>
    <w:rsid w:val="FBDDA85E"/>
    <w:rsid w:val="FBFFFB1C"/>
    <w:rsid w:val="FC5EFAF8"/>
    <w:rsid w:val="FC6D6039"/>
    <w:rsid w:val="FCEA7632"/>
    <w:rsid w:val="FD77CFA8"/>
    <w:rsid w:val="FDD63FE9"/>
    <w:rsid w:val="FDFBE4F4"/>
    <w:rsid w:val="FDFFC529"/>
    <w:rsid w:val="FE6AEA6E"/>
    <w:rsid w:val="FE6EA40D"/>
    <w:rsid w:val="FE8F32EC"/>
    <w:rsid w:val="FE9A95A1"/>
    <w:rsid w:val="FED7CE6D"/>
    <w:rsid w:val="FEDD2CD7"/>
    <w:rsid w:val="FEE72DEF"/>
    <w:rsid w:val="FEF681B4"/>
    <w:rsid w:val="FEFF2FD7"/>
    <w:rsid w:val="FF3BFE57"/>
    <w:rsid w:val="FF7AE012"/>
    <w:rsid w:val="FF7E567E"/>
    <w:rsid w:val="FF7F9C6D"/>
    <w:rsid w:val="FF9FC643"/>
    <w:rsid w:val="FFA778A4"/>
    <w:rsid w:val="FFB69E13"/>
    <w:rsid w:val="FFBD3812"/>
    <w:rsid w:val="FFDE3101"/>
    <w:rsid w:val="FFE5E620"/>
    <w:rsid w:val="FFE704EF"/>
    <w:rsid w:val="FFF7A0E9"/>
    <w:rsid w:val="FFFAAF28"/>
    <w:rsid w:val="FFFB37E5"/>
    <w:rsid w:val="FFFE5755"/>
    <w:rsid w:val="FFFEB3F1"/>
    <w:rsid w:val="FFFF1F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宋体"/>
      <w:sz w:val="21"/>
      <w:szCs w:val="21"/>
      <w:lang w:val="en-US" w:eastAsia="zh-CN" w:bidi="ar-SA"/>
    </w:rPr>
  </w:style>
  <w:style w:type="paragraph" w:styleId="3">
    <w:name w:val="Normal Indent"/>
    <w:basedOn w:val="1"/>
    <w:qFormat/>
    <w:uiPriority w:val="0"/>
    <w:pPr>
      <w:spacing w:line="360" w:lineRule="auto"/>
      <w:ind w:firstLine="420" w:firstLineChars="200"/>
    </w:pPr>
    <w:rPr>
      <w:rFonts w:ascii="Calibri" w:hAnsi="Calibri" w:eastAsia="宋体" w:cs="Times New Roman"/>
      <w:sz w:val="24"/>
    </w:rPr>
  </w:style>
  <w:style w:type="paragraph" w:styleId="4">
    <w:name w:val="Body Text"/>
    <w:basedOn w:val="1"/>
    <w:next w:val="1"/>
    <w:qFormat/>
    <w:uiPriority w:val="0"/>
    <w:pPr>
      <w:spacing w:after="120" w:afterLines="0"/>
    </w:pPr>
  </w:style>
  <w:style w:type="paragraph" w:styleId="5">
    <w:name w:val="Block Text"/>
    <w:qFormat/>
    <w:uiPriority w:val="0"/>
    <w:pPr>
      <w:widowControl w:val="0"/>
      <w:spacing w:after="120"/>
      <w:ind w:left="1440" w:leftChars="700" w:right="1440" w:rightChars="700"/>
      <w:jc w:val="both"/>
    </w:pPr>
    <w:rPr>
      <w:rFonts w:ascii="Times New Roman" w:hAnsi="Times New Roman" w:eastAsia="宋体" w:cs="Times New Roman"/>
      <w:kern w:val="2"/>
      <w:sz w:val="21"/>
      <w:lang w:val="en-US" w:eastAsia="zh-CN" w:bidi="ar-SA"/>
    </w:rPr>
  </w:style>
  <w:style w:type="paragraph" w:styleId="6">
    <w:name w:val="Body Text Indent 2"/>
    <w:basedOn w:val="1"/>
    <w:next w:val="7"/>
    <w:qFormat/>
    <w:uiPriority w:val="0"/>
    <w:pPr>
      <w:spacing w:after="120" w:afterLines="0" w:line="480" w:lineRule="auto"/>
      <w:ind w:left="420" w:leftChars="200"/>
    </w:pPr>
  </w:style>
  <w:style w:type="paragraph" w:customStyle="1" w:styleId="7">
    <w:name w:val="reader-word-layer reader-word-s46-2"/>
    <w:basedOn w:val="1"/>
    <w:next w:val="8"/>
    <w:qFormat/>
    <w:uiPriority w:val="0"/>
    <w:pPr>
      <w:widowControl/>
      <w:spacing w:before="280" w:after="280"/>
    </w:pPr>
    <w:rPr>
      <w:rFonts w:ascii="宋体"/>
      <w:sz w:val="24"/>
    </w:rPr>
  </w:style>
  <w:style w:type="paragraph" w:customStyle="1" w:styleId="8">
    <w:name w:val="xl35"/>
    <w:basedOn w:val="1"/>
    <w:next w:val="1"/>
    <w:qFormat/>
    <w:uiPriority w:val="0"/>
    <w:pPr>
      <w:widowControl/>
      <w:shd w:val="clear" w:color="FFFFFF" w:fill="FFFFFF"/>
      <w:spacing w:before="280" w:after="280"/>
    </w:pPr>
    <w:rPr>
      <w:rFonts w:ascii="Arial Unicode MS" w:eastAsia="Arial Unicode MS"/>
      <w:sz w:val="24"/>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11">
    <w:name w:val="Normal (Web)"/>
    <w:basedOn w:val="1"/>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4"/>
    <w:qFormat/>
    <w:uiPriority w:val="0"/>
    <w:pPr>
      <w:ind w:firstLine="420" w:firstLineChars="100"/>
    </w:p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Body Text Indent 2"/>
    <w:basedOn w:val="1"/>
    <w:qFormat/>
    <w:uiPriority w:val="0"/>
    <w:pPr>
      <w:spacing w:after="120" w:afterLines="0" w:line="480" w:lineRule="auto"/>
      <w:ind w:left="200" w:leftChars="200"/>
    </w:pPr>
  </w:style>
  <w:style w:type="paragraph" w:customStyle="1" w:styleId="17">
    <w:name w:val="表格文字"/>
    <w:basedOn w:val="1"/>
    <w:next w:val="4"/>
    <w:qFormat/>
    <w:uiPriority w:val="0"/>
    <w:pPr>
      <w:adjustRightInd w:val="0"/>
      <w:spacing w:line="420" w:lineRule="atLeast"/>
      <w:jc w:val="left"/>
      <w:textAlignment w:val="baseline"/>
    </w:pPr>
    <w:rPr>
      <w:rFonts w:ascii="Times New Roman" w:hAnsi="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4858</Words>
  <Characters>4907</Characters>
  <Lines>0</Lines>
  <Paragraphs>0</Paragraphs>
  <TotalTime>124</TotalTime>
  <ScaleCrop>false</ScaleCrop>
  <LinksUpToDate>false</LinksUpToDate>
  <CharactersWithSpaces>4916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2014-11-26T04:08:00Z</dcterms:created>
  <dc:creator>fjc</dc:creator>
  <cp:lastModifiedBy>围诚</cp:lastModifiedBy>
  <cp:lastPrinted>2022-11-15T06:44:01Z</cp:lastPrinted>
  <dcterms:modified xsi:type="dcterms:W3CDTF">2022-12-09T01:31:44Z</dcterms:modified>
  <dc:title>住房和城乡建设部办公厅关于印发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7D7B17C8EA1E48F8B8EDCEC1ED4D4D2A</vt:lpwstr>
  </property>
</Properties>
</file>